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Arial" w:cs="Arial" w:eastAsia="Arial" w:hAnsi="Arial"/>
          <w:b/>
          <w:bCs/>
          <w:color w:val="155E75"/>
          <w:sz w:val="16"/>
          <w:szCs w:val="16"/>
        </w:rPr>
        <w:t xml:space="preserve">SECURE BY DESIGN  /  TRAINING SAMPLE</w:t>
      </w:r>
    </w:p>
    <w:p>
      <w:pPr>
        <w:spacing w:after="80"/>
      </w:pPr>
      <w:r>
        <w:rPr>
          <w:rFonts w:ascii="Arial" w:cs="Arial" w:eastAsia="Arial" w:hAnsi="Arial"/>
          <w:b/>
          <w:bCs/>
          <w:color w:val="1A2E42"/>
          <w:sz w:val="40"/>
          <w:szCs w:val="40"/>
        </w:rPr>
        <w:t xml:space="preserve">Incident Response Plan</w:t>
      </w:r>
    </w:p>
    <w:p>
      <w:pPr>
        <w:spacing w:after="240"/>
      </w:pPr>
      <w:r>
        <w:rPr>
          <w:rFonts w:ascii="Arial" w:cs="Arial" w:eastAsia="Arial" w:hAnsi="Arial"/>
          <w:color w:val="155E75"/>
          <w:sz w:val="22"/>
          <w:szCs w:val="22"/>
        </w:rPr>
        <w:t xml:space="preserve">System-level incident response plan for a DoD SAP system (JSIG and NIST SP 800-53 Rev. 5 IR-8)</w:t>
      </w:r>
    </w:p>
    <w:p>
      <w:pPr>
        <w:pBdr>
          <w:left w:val="single" w:color="155E75" w:sz="12" w:space="8"/>
        </w:pBdr>
        <w:spacing w:after="160" w:before="60"/>
      </w:pPr>
      <w:r>
        <w:rPr>
          <w:rFonts w:ascii="Arial" w:cs="Arial" w:eastAsia="Arial" w:hAnsi="Arial"/>
          <w:i/>
          <w:iCs/>
          <w:color w:val="374151"/>
          <w:sz w:val="19"/>
          <w:szCs w:val="19"/>
        </w:rPr>
        <w:t xml:space="preserve">Every bracketed field is for the learner to complete. Rows shaded green are worked examples with fictional values for the Secure By Design enclave. Section 5 lists every control in the family with its NIST SP 800-53B baseline, so the plan and the SCTM stay in step.</w:t>
      </w:r>
    </w:p>
    <w:p>
      <w:pPr>
        <w:pStyle w:val="Heading1"/>
        <w:spacing w:after="120" w:before="240"/>
      </w:pPr>
      <w:r>
        <w:rPr>
          <w:rFonts w:ascii="Arial" w:cs="Arial" w:eastAsia="Arial" w:hAnsi="Arial"/>
          <w:b/>
          <w:bCs/>
          <w:color w:val="1A2E42"/>
          <w:sz w:val="30"/>
          <w:szCs w:val="30"/>
        </w:rPr>
        <w:t xml:space="preserve">1. Purpose and scope</w:t>
      </w:r>
    </w:p>
    <w:p>
      <w:pPr>
        <w:spacing w:after="120" w:line="276"/>
      </w:pPr>
      <w:r>
        <w:rPr>
          <w:rFonts w:ascii="Arial" w:cs="Arial" w:eastAsia="Arial" w:hAnsi="Arial"/>
          <w:sz w:val="21"/>
          <w:szCs w:val="21"/>
        </w:rPr>
        <w:t xml:space="preserve">For </w:t>
      </w:r>
      <w:r>
        <w:rPr>
          <w:rFonts w:ascii="Arial" w:cs="Arial" w:eastAsia="Arial" w:hAnsi="Arial"/>
          <w:color w:val="9A3412"/>
          <w:sz w:val="19"/>
          <w:szCs w:val="19"/>
        </w:rPr>
        <w:t xml:space="preserve">[system name and unique identifier]</w:t>
      </w:r>
      <w:r>
        <w:rPr>
          <w:rFonts w:ascii="Arial" w:cs="Arial" w:eastAsia="Arial" w:hAnsi="Arial"/>
          <w:sz w:val="21"/>
          <w:szCs w:val="21"/>
        </w:rPr>
        <w:t xml:space="preserve">, this plan describes how incidents are detected, reported, contained and resolved, who must be told and how fast, and how the plan is tested and improved (IR-8). It applies to every component inside the authorization boundary, the people who use and administer them, and </w:t>
      </w:r>
      <w:r>
        <w:rPr>
          <w:rFonts w:ascii="Arial" w:cs="Arial" w:eastAsia="Arial" w:hAnsi="Arial"/>
          <w:color w:val="9A3412"/>
          <w:sz w:val="19"/>
          <w:szCs w:val="19"/>
        </w:rPr>
        <w:t xml:space="preserve">[any other scope]</w:t>
      </w:r>
      <w:r>
        <w:rPr>
          <w:rFonts w:ascii="Arial" w:cs="Arial" w:eastAsia="Arial" w:hAnsi="Arial"/>
          <w:sz w:val="21"/>
          <w:szCs w:val="21"/>
        </w:rPr>
        <w:t xml:space="preserve">, and it carries out the incident response policy and procedures required by IR-1.</w:t>
      </w:r>
    </w:p>
    <w:p>
      <w:pPr>
        <w:pStyle w:val="Heading1"/>
        <w:spacing w:after="120" w:before="240"/>
      </w:pPr>
      <w:r>
        <w:rPr>
          <w:rFonts w:ascii="Arial" w:cs="Arial" w:eastAsia="Arial" w:hAnsi="Arial"/>
          <w:b/>
          <w:bCs/>
          <w:color w:val="1A2E42"/>
          <w:sz w:val="30"/>
          <w:szCs w:val="30"/>
        </w:rPr>
        <w:t xml:space="preserve">2. Roles and responsibilities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25"/>
        <w:gridCol w:w="6435"/>
      </w:tblGrid>
      <w:tr>
        <w:trPr>
          <w:cantSplit/>
          <w:tblHeader/>
        </w:trPr>
        <w:tc>
          <w:tcPr>
            <w:tcW w:type="dxa" w:w="2925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Role</w:t>
            </w:r>
          </w:p>
        </w:tc>
        <w:tc>
          <w:tcPr>
            <w:tcW w:type="dxa" w:w="6435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IR responsibilities</w:t>
            </w:r>
          </w:p>
        </w:tc>
      </w:tr>
      <w:tr>
        <w:trPr>
          <w:cantSplit/>
        </w:trPr>
        <w:tc>
          <w:tcPr>
            <w:tcW w:type="dxa" w:w="2925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Information System Security Manager (ISSM)</w:t>
            </w:r>
          </w:p>
        </w:tc>
        <w:tc>
          <w:tcPr>
            <w:tcW w:type="dxa" w:w="6435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Leads the response, reports to the PSO and AO, and approves the plan.</w:t>
            </w:r>
          </w:p>
        </w:tc>
      </w:tr>
      <w:tr>
        <w:trPr>
          <w:cantSplit/>
        </w:trPr>
        <w:tc>
          <w:tcPr>
            <w:tcW w:type="dxa" w:w="2925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Information System Security Officer (ISSO)</w:t>
            </w:r>
          </w:p>
        </w:tc>
        <w:tc>
          <w:tcPr>
            <w:tcW w:type="dxa" w:w="6435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Receives reports, starts the response and keeps the incident record.</w:t>
            </w:r>
          </w:p>
        </w:tc>
      </w:tr>
      <w:tr>
        <w:trPr>
          <w:cantSplit/>
        </w:trPr>
        <w:tc>
          <w:tcPr>
            <w:tcW w:type="dxa" w:w="2925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Program Security Officer (PSO)</w:t>
            </w:r>
          </w:p>
        </w:tc>
        <w:tc>
          <w:tcPr>
            <w:tcW w:type="dxa" w:w="6435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Directs reporting and handling for SAP information, including spillage.</w:t>
            </w:r>
          </w:p>
        </w:tc>
      </w:tr>
      <w:tr>
        <w:trPr>
          <w:cantSplit/>
        </w:trPr>
        <w:tc>
          <w:tcPr>
            <w:tcW w:type="dxa" w:w="2925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System administrators</w:t>
            </w:r>
          </w:p>
        </w:tc>
        <w:tc>
          <w:tcPr>
            <w:tcW w:type="dxa" w:w="6435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Preserve evidence and carry out containment and recovery steps as directed.</w:t>
            </w:r>
          </w:p>
        </w:tc>
      </w:tr>
    </w:tbl>
    <w:p>
      <w:pPr>
        <w:pStyle w:val="Heading1"/>
        <w:spacing w:after="120" w:before="240"/>
      </w:pPr>
      <w:r>
        <w:rPr>
          <w:rFonts w:ascii="Arial" w:cs="Arial" w:eastAsia="Arial" w:hAnsi="Arial"/>
          <w:b/>
          <w:bCs/>
          <w:color w:val="1A2E42"/>
          <w:sz w:val="30"/>
          <w:szCs w:val="30"/>
        </w:rPr>
        <w:t xml:space="preserve">3. Policy and procedures (IR-1)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6240"/>
      </w:tblGrid>
      <w:tr>
        <w:trPr>
          <w:cantSplit/>
          <w:tblHeader/>
        </w:trPr>
        <w:tc>
          <w:tcPr>
            <w:tcW w:type="dxa" w:w="312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Item</w:t>
            </w:r>
          </w:p>
        </w:tc>
        <w:tc>
          <w:tcPr>
            <w:tcW w:type="dxa" w:w="62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Decision for this system</w:t>
            </w:r>
          </w:p>
        </w:tc>
      </w:tr>
      <w:tr>
        <w:trPr>
          <w:cantSplit/>
        </w:trPr>
        <w:tc>
          <w:tcPr>
            <w:tcW w:type="dxa" w:w="312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Incident Response policy</w:t>
            </w:r>
          </w:p>
        </w:tc>
        <w:tc>
          <w:tcPr>
            <w:tcW w:type="dxa" w:w="62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SBD-POL-IR-01, Incident Response Policy, version 1.0 (fictional)</w:t>
            </w:r>
          </w:p>
        </w:tc>
      </w:tr>
      <w:tr>
        <w:trPr>
          <w:cantSplit/>
        </w:trPr>
        <w:tc>
          <w:tcPr>
            <w:tcW w:type="dxa" w:w="312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Procedures</w:t>
            </w:r>
          </w:p>
        </w:tc>
        <w:tc>
          <w:tcPr>
            <w:tcW w:type="dxa" w:w="62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[document and location]</w:t>
            </w:r>
          </w:p>
        </w:tc>
      </w:tr>
      <w:tr>
        <w:trPr>
          <w:cantSplit/>
        </w:trPr>
        <w:tc>
          <w:tcPr>
            <w:tcW w:type="dxa" w:w="312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Official who manages the policy (IR-1 b)</w:t>
            </w:r>
          </w:p>
        </w:tc>
        <w:tc>
          <w:tcPr>
            <w:tcW w:type="dxa" w:w="62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</w:tr>
      <w:tr>
        <w:trPr>
          <w:cantSplit/>
        </w:trPr>
        <w:tc>
          <w:tcPr>
            <w:tcW w:type="dxa" w:w="312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Policy review (IR-1 c)</w:t>
            </w:r>
          </w:p>
        </w:tc>
        <w:tc>
          <w:tcPr>
            <w:tcW w:type="dxa" w:w="62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[frequency, and the events that trigger a review]</w:t>
            </w:r>
          </w:p>
        </w:tc>
      </w:tr>
      <w:tr>
        <w:trPr>
          <w:cantSplit/>
        </w:trPr>
        <w:tc>
          <w:tcPr>
            <w:tcW w:type="dxa" w:w="312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Procedure review</w:t>
            </w:r>
          </w:p>
        </w:tc>
        <w:tc>
          <w:tcPr>
            <w:tcW w:type="dxa" w:w="62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[frequency, and the events that trigger a review]</w:t>
            </w:r>
          </w:p>
        </w:tc>
      </w:tr>
    </w:tbl>
    <w:p>
      <w:pPr>
        <w:pStyle w:val="Heading1"/>
        <w:spacing w:after="120" w:before="240"/>
      </w:pPr>
      <w:r>
        <w:rPr>
          <w:rFonts w:ascii="Arial" w:cs="Arial" w:eastAsia="Arial" w:hAnsi="Arial"/>
          <w:b/>
          <w:bCs/>
          <w:color w:val="1A2E42"/>
          <w:sz w:val="30"/>
          <w:szCs w:val="30"/>
        </w:rPr>
        <w:t xml:space="preserve">4. Incident categories and reporting (IR-6)</w:t>
      </w:r>
    </w:p>
    <w:p>
      <w:pPr>
        <w:spacing w:after="120" w:line="276"/>
      </w:pPr>
      <w:r>
        <w:rPr>
          <w:rFonts w:ascii="Arial" w:cs="Arial" w:eastAsia="Arial" w:hAnsi="Arial"/>
          <w:sz w:val="21"/>
          <w:szCs w:val="21"/>
        </w:rPr>
        <w:t xml:space="preserve">List each category, who is told, and the deadline.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2340"/>
        <w:gridCol w:w="2340"/>
      </w:tblGrid>
      <w:tr>
        <w:trPr>
          <w:cantSplit/>
          <w:tblHeader/>
        </w:trPr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Category</w:t>
            </w:r>
          </w:p>
        </w:tc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Example</w:t>
            </w:r>
          </w:p>
        </w:tc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Report to</w:t>
            </w:r>
          </w:p>
        </w:tc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Within</w:t>
            </w:r>
          </w:p>
        </w:tc>
      </w:tr>
      <w:tr>
        <w:trPr>
          <w:cantSplit/>
        </w:trPr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Suspected spillage</w:t>
            </w:r>
          </w:p>
        </w:tc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Classified data found on a system not approved for it</w:t>
            </w:r>
          </w:p>
        </w:tc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ISSM, then the PSO</w:t>
            </w:r>
          </w:p>
        </w:tc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[time set by the PSO]</w:t>
            </w:r>
          </w:p>
        </w:tc>
      </w:tr>
      <w:tr>
        <w:trPr>
          <w:cantSplit/>
        </w:trPr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[category]</w:t>
            </w:r>
          </w:p>
        </w:tc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[example]</w:t>
            </w:r>
          </w:p>
        </w:tc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[recipient]</w:t>
            </w:r>
          </w:p>
        </w:tc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[time]</w:t>
            </w:r>
          </w:p>
        </w:tc>
      </w:tr>
      <w:tr>
        <w:trPr>
          <w:cantSplit/>
        </w:trPr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[category]</w:t>
            </w:r>
          </w:p>
        </w:tc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[example]</w:t>
            </w:r>
          </w:p>
        </w:tc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[recipient]</w:t>
            </w:r>
          </w:p>
        </w:tc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[time]</w:t>
            </w:r>
          </w:p>
        </w:tc>
      </w:tr>
    </w:tbl>
    <w:p>
      <w:pPr>
        <w:pStyle w:val="Heading1"/>
        <w:spacing w:after="120" w:before="240"/>
      </w:pPr>
      <w:r>
        <w:rPr>
          <w:rFonts w:ascii="Arial" w:cs="Arial" w:eastAsia="Arial" w:hAnsi="Arial"/>
          <w:b/>
          <w:bCs/>
          <w:color w:val="1A2E42"/>
          <w:sz w:val="30"/>
          <w:szCs w:val="30"/>
        </w:rPr>
        <w:t xml:space="preserve">5. Response steps and testing (IR-3, IR-4)</w:t>
      </w:r>
    </w:p>
    <w:p>
      <w:pPr>
        <w:spacing w:after="120" w:line="276"/>
      </w:pPr>
      <w:r>
        <w:rPr>
          <w:rFonts w:ascii="Arial" w:cs="Arial" w:eastAsia="Arial" w:hAnsi="Arial"/>
          <w:sz w:val="21"/>
          <w:szCs w:val="21"/>
        </w:rPr>
        <w:t xml:space="preserve">Record the steps the team follows and how the plan is exercised.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3120"/>
        <w:gridCol w:w="3120"/>
      </w:tblGrid>
      <w:tr>
        <w:trPr>
          <w:cantSplit/>
          <w:tblHeader/>
        </w:trPr>
        <w:tc>
          <w:tcPr>
            <w:tcW w:type="dxa" w:w="312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Step</w:t>
            </w:r>
          </w:p>
        </w:tc>
        <w:tc>
          <w:tcPr>
            <w:tcW w:type="dxa" w:w="312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What happens</w:t>
            </w:r>
          </w:p>
        </w:tc>
        <w:tc>
          <w:tcPr>
            <w:tcW w:type="dxa" w:w="312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Owner</w:t>
            </w:r>
          </w:p>
        </w:tc>
      </w:tr>
      <w:tr>
        <w:trPr>
          <w:cantSplit/>
        </w:trPr>
        <w:tc>
          <w:tcPr>
            <w:tcW w:type="dxa" w:w="312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Contain</w:t>
            </w:r>
          </w:p>
        </w:tc>
        <w:tc>
          <w:tcPr>
            <w:tcW w:type="dxa" w:w="312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Isolate the affected component without powering it off, and preserve its logs</w:t>
            </w:r>
          </w:p>
        </w:tc>
        <w:tc>
          <w:tcPr>
            <w:tcW w:type="dxa" w:w="312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ISSO with system administrators</w:t>
            </w:r>
          </w:p>
        </w:tc>
      </w:tr>
      <w:tr>
        <w:trPr>
          <w:cantSplit/>
        </w:trPr>
        <w:tc>
          <w:tcPr>
            <w:tcW w:type="dxa" w:w="312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Detect and report</w:t>
            </w:r>
          </w:p>
        </w:tc>
        <w:tc>
          <w:tcPr>
            <w:tcW w:type="dxa" w:w="312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[actions]</w:t>
            </w:r>
          </w:p>
        </w:tc>
        <w:tc>
          <w:tcPr>
            <w:tcW w:type="dxa" w:w="312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</w:tr>
      <w:tr>
        <w:trPr>
          <w:cantSplit/>
        </w:trPr>
        <w:tc>
          <w:tcPr>
            <w:tcW w:type="dxa" w:w="312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Eradicate and recover</w:t>
            </w:r>
          </w:p>
        </w:tc>
        <w:tc>
          <w:tcPr>
            <w:tcW w:type="dxa" w:w="312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[actions]</w:t>
            </w:r>
          </w:p>
        </w:tc>
        <w:tc>
          <w:tcPr>
            <w:tcW w:type="dxa" w:w="312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</w:tr>
      <w:tr>
        <w:trPr>
          <w:cantSplit/>
        </w:trPr>
        <w:tc>
          <w:tcPr>
            <w:tcW w:type="dxa" w:w="312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Review lessons learned</w:t>
            </w:r>
          </w:p>
        </w:tc>
        <w:tc>
          <w:tcPr>
            <w:tcW w:type="dxa" w:w="312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[actions and plan updates]</w:t>
            </w:r>
          </w:p>
        </w:tc>
        <w:tc>
          <w:tcPr>
            <w:tcW w:type="dxa" w:w="312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</w:tr>
      <w:tr>
        <w:trPr>
          <w:cantSplit/>
        </w:trPr>
        <w:tc>
          <w:tcPr>
            <w:tcW w:type="dxa" w:w="312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Test the plan</w:t>
            </w:r>
          </w:p>
        </w:tc>
        <w:tc>
          <w:tcPr>
            <w:tcW w:type="dxa" w:w="312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[exercise type and frequency]</w:t>
            </w:r>
          </w:p>
        </w:tc>
        <w:tc>
          <w:tcPr>
            <w:tcW w:type="dxa" w:w="312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</w:tr>
    </w:tbl>
    <w:p>
      <w:pPr>
        <w:pStyle w:val="Heading1"/>
        <w:spacing w:after="120" w:before="240"/>
      </w:pPr>
      <w:r>
        <w:rPr>
          <w:rFonts w:ascii="Arial" w:cs="Arial" w:eastAsia="Arial" w:hAnsi="Arial"/>
          <w:b/>
          <w:bCs/>
          <w:color w:val="1A2E42"/>
          <w:sz w:val="30"/>
          <w:szCs w:val="30"/>
        </w:rPr>
        <w:t xml:space="preserve">6. Control implementation summary</w:t>
      </w:r>
    </w:p>
    <w:p>
      <w:pPr>
        <w:spacing w:after="120" w:line="276"/>
      </w:pPr>
      <w:r>
        <w:rPr>
          <w:rFonts w:ascii="Arial" w:cs="Arial" w:eastAsia="Arial" w:hAnsi="Arial"/>
          <w:sz w:val="21"/>
          <w:szCs w:val="21"/>
        </w:rPr>
        <w:t xml:space="preserve">Every control in the Incident Response family that NIST SP 800-53 Rev. 5 lists, with the enhancements that appear in an SP 800-53B baseline. Mark the controls in </w:t>
      </w:r>
      <w:r>
        <w:rPr>
          <w:rFonts w:ascii="Arial" w:cs="Arial" w:eastAsia="Arial" w:hAnsi="Arial"/>
          <w:color w:val="9A3412"/>
          <w:sz w:val="19"/>
          <w:szCs w:val="19"/>
        </w:rPr>
        <w:t xml:space="preserve">[this system’s baseline under CNSSI 1253 and its overlays]</w:t>
      </w:r>
      <w:r>
        <w:rPr>
          <w:rFonts w:ascii="Arial" w:cs="Arial" w:eastAsia="Arial" w:hAnsi="Arial"/>
          <w:sz w:val="21"/>
          <w:szCs w:val="21"/>
        </w:rPr>
        <w:t xml:space="preserve">, then record status, the responsible role and the evidence. Copy the result into the SCTM.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23"/>
        <w:gridCol w:w="2463"/>
        <w:gridCol w:w="1416"/>
        <w:gridCol w:w="1416"/>
        <w:gridCol w:w="1416"/>
        <w:gridCol w:w="1724"/>
      </w:tblGrid>
      <w:tr>
        <w:trPr>
          <w:cantSplit/>
          <w:tblHeader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Control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Title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SP 800-53B baseline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Status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Responsible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Evidence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IR-1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Policy and Procedures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Low, 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Implemented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ISSM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SBD-POL-IR-01, signed 2026-10-01 (fictional)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IR-2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Incident Response Training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Low, 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IR-2(1)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Simulated Events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IR-2(2)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Automated Training Environments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IR-3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Incident Response Testing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IR-3(2)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Coordination with Related Plans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IR-4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Incident Handling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Low, 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IR-4(1)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Automated Incident Handling Processes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IR-4(4)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Information Correlation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IR-4(11)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Integrated Incident Response Team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IR-5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Incident Monitoring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Low, 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IR-5(1)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Automated Tracking, Data Collection, and Analysis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IR-6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Incident Reporting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Low, 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IR-6(1)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Automated Reporting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IR-6(3)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Supply Chain Coordination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IR-7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Incident Response Assistance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Low, 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IR-7(1)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Automation Support for Availability of Information and Support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IR-8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Incident Response Plan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Low, 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IR-9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Information Spillage Response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—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</w:tbl>
    <w:p>
      <w:pPr>
        <w:pStyle w:val="Heading1"/>
        <w:spacing w:after="120" w:before="240"/>
      </w:pPr>
      <w:r>
        <w:rPr>
          <w:rFonts w:ascii="Arial" w:cs="Arial" w:eastAsia="Arial" w:hAnsi="Arial"/>
          <w:b/>
          <w:bCs/>
          <w:color w:val="1A2E42"/>
          <w:sz w:val="30"/>
          <w:szCs w:val="30"/>
        </w:rPr>
        <w:t xml:space="preserve">7. Plan review, approval and protection</w:t>
      </w:r>
    </w:p>
    <w:p>
      <w:pPr>
        <w:spacing w:after="120" w:line="276"/>
      </w:pPr>
      <w:r>
        <w:rPr>
          <w:rFonts w:ascii="Arial" w:cs="Arial" w:eastAsia="Arial" w:hAnsi="Arial"/>
          <w:sz w:val="21"/>
          <w:szCs w:val="21"/>
        </w:rPr>
        <w:t xml:space="preserve">This plan is reviewed and approved by </w:t>
      </w:r>
      <w:r>
        <w:rPr>
          <w:rFonts w:ascii="Arial" w:cs="Arial" w:eastAsia="Arial" w:hAnsi="Arial"/>
          <w:color w:val="9A3412"/>
          <w:sz w:val="19"/>
          <w:szCs w:val="19"/>
        </w:rPr>
        <w:t xml:space="preserve">[role]</w:t>
      </w:r>
      <w:r>
        <w:rPr>
          <w:rFonts w:ascii="Arial" w:cs="Arial" w:eastAsia="Arial" w:hAnsi="Arial"/>
          <w:sz w:val="21"/>
          <w:szCs w:val="21"/>
        </w:rPr>
        <w:t xml:space="preserve"> </w:t>
      </w:r>
      <w:r>
        <w:rPr>
          <w:rFonts w:ascii="Arial" w:cs="Arial" w:eastAsia="Arial" w:hAnsi="Arial"/>
          <w:color w:val="9A3412"/>
          <w:sz w:val="19"/>
          <w:szCs w:val="19"/>
        </w:rPr>
        <w:t xml:space="preserve">[frequency]</w:t>
      </w:r>
      <w:r>
        <w:rPr>
          <w:rFonts w:ascii="Arial" w:cs="Arial" w:eastAsia="Arial" w:hAnsi="Arial"/>
          <w:sz w:val="21"/>
          <w:szCs w:val="21"/>
        </w:rPr>
        <w:t xml:space="preserve"> and after any significant change, and is protected from unauthorized disclosure and modification by </w:t>
      </w:r>
      <w:r>
        <w:rPr>
          <w:rFonts w:ascii="Arial" w:cs="Arial" w:eastAsia="Arial" w:hAnsi="Arial"/>
          <w:color w:val="9A3412"/>
          <w:sz w:val="19"/>
          <w:szCs w:val="19"/>
        </w:rPr>
        <w:t xml:space="preserve">[method]</w:t>
      </w:r>
      <w:r>
        <w:rPr>
          <w:rFonts w:ascii="Arial" w:cs="Arial" w:eastAsia="Arial" w:hAnsi="Arial"/>
          <w:sz w:val="21"/>
          <w:szCs w:val="21"/>
        </w:rPr>
        <w:t xml:space="preserve">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123"/>
        <w:gridCol w:w="1498"/>
        <w:gridCol w:w="4680"/>
        <w:gridCol w:w="2059"/>
      </w:tblGrid>
      <w:tr>
        <w:trPr>
          <w:cantSplit/>
          <w:tblHeader/>
        </w:trPr>
        <w:tc>
          <w:tcPr>
            <w:tcW w:type="dxa" w:w="11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Version</w:t>
            </w:r>
          </w:p>
        </w:tc>
        <w:tc>
          <w:tcPr>
            <w:tcW w:type="dxa" w:w="1498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Date</w:t>
            </w:r>
          </w:p>
        </w:tc>
        <w:tc>
          <w:tcPr>
            <w:tcW w:type="dxa" w:w="468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Change</w:t>
            </w:r>
          </w:p>
        </w:tc>
        <w:tc>
          <w:tcPr>
            <w:tcW w:type="dxa" w:w="2059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Approved by</w:t>
            </w:r>
          </w:p>
        </w:tc>
      </w:tr>
      <w:tr>
        <w:trPr>
          <w:cantSplit/>
        </w:trPr>
        <w:tc>
          <w:tcPr>
            <w:tcW w:type="dxa" w:w="11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1.0</w:t>
            </w:r>
          </w:p>
        </w:tc>
        <w:tc>
          <w:tcPr>
            <w:tcW w:type="dxa" w:w="1498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[date]</w:t>
            </w:r>
          </w:p>
        </w:tc>
        <w:tc>
          <w:tcPr>
            <w:tcW w:type="dxa" w:w="468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Initial plan</w:t>
            </w:r>
          </w:p>
        </w:tc>
        <w:tc>
          <w:tcPr>
            <w:tcW w:type="dxa" w:w="2059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[name]</w:t>
            </w:r>
          </w:p>
        </w:tc>
      </w:tr>
    </w:tbl>
    <w:p>
      <w:pPr>
        <w:pStyle w:val="Heading2"/>
        <w:spacing w:after="100" w:before="200"/>
      </w:pPr>
      <w:r>
        <w:rPr>
          <w:rFonts w:ascii="Arial" w:cs="Arial" w:eastAsia="Arial" w:hAnsi="Arial"/>
          <w:b/>
          <w:bCs/>
          <w:color w:val="155E75"/>
          <w:sz w:val="24"/>
          <w:szCs w:val="24"/>
        </w:rPr>
        <w:t xml:space="preserve">Sources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Arial" w:cs="Arial" w:eastAsia="Arial" w:hAnsi="Arial"/>
          <w:sz w:val="21"/>
          <w:szCs w:val="21"/>
        </w:rPr>
        <w:t xml:space="preserve">DoD Joint SAP Implementation Guide (JSIG), 11 April 2016: the IR family (public on dcsa.mil).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Arial" w:cs="Arial" w:eastAsia="Arial" w:hAnsi="Arial"/>
          <w:sz w:val="21"/>
          <w:szCs w:val="21"/>
        </w:rPr>
        <w:t xml:space="preserve">NIST SP 800-53 Rev. 5, Release 5.2.0, the IR family.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Arial" w:cs="Arial" w:eastAsia="Arial" w:hAnsi="Arial"/>
          <w:sz w:val="21"/>
          <w:szCs w:val="21"/>
        </w:rPr>
        <w:t xml:space="preserve">NIST SP 800-53B, Control Baselines for Information Systems and Organizations.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Arial" w:cs="Arial" w:eastAsia="Arial" w:hAnsi="Arial"/>
          <w:sz w:val="21"/>
          <w:szCs w:val="21"/>
        </w:rPr>
        <w:t xml:space="preserve">CNSSI 1253, Categorization and Control Selection for National Security Systems.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Arial" w:cs="Arial" w:eastAsia="Arial" w:hAnsi="Arial"/>
          <w:sz w:val="21"/>
          <w:szCs w:val="21"/>
        </w:rPr>
        <w:t xml:space="preserve">NIST SP 800-61 Rev. 3, Incident Response Recommendations and Considerations for Cybersecurity Risk Management.</w:t>
      </w:r>
    </w:p>
    <w:p>
      <w:pPr>
        <w:pBdr>
          <w:left w:val="single" w:color="155E75" w:sz="12" w:space="8"/>
        </w:pBdr>
        <w:spacing w:after="160" w:before="60"/>
      </w:pPr>
      <w:r>
        <w:rPr>
          <w:rFonts w:ascii="Arial" w:cs="Arial" w:eastAsia="Arial" w:hAnsi="Arial"/>
          <w:i/>
          <w:iCs/>
          <w:color w:val="374151"/>
          <w:sz w:val="19"/>
          <w:szCs w:val="19"/>
        </w:rPr>
        <w:t xml:space="preserve">Written by Secure By Design for instruction. This is not an official DoD, DCSA, PSO or AO form. On a real system, use the templates your AO and PSO direct, and do not enter real program or personal information in a training copy.</w:t>
      </w:r>
    </w:p>
    <w:sectPr>
      <w:headerReference w:type="default" r:id="rId7"/>
      <w:footerReference w:type="default" r:id="rId8"/>
      <w:pgSz w:w="12240" w:h="15840" w:orient="portrait"/>
      <w:pgMar w:top="1440" w:right="1440" w:bottom="130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7280"/>
        <w:sz w:val="16"/>
        <w:szCs w:val="16"/>
      </w:rPr>
      <w:t xml:space="preserve">Incident Response Plan  ·  Secure By Design training sample  ·  Page </w:t>
    </w:r>
    <w:r>
      <w:rPr>
        <w:rFonts w:ascii="Arial" w:cs="Arial" w:eastAsia="Arial" w:hAnsi="Arial"/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9A3412" w:sz="6" w:space="4"/>
      </w:pBdr>
      <w:jc w:val="center"/>
    </w:pPr>
    <w:r>
      <w:rPr>
        <w:rFonts w:ascii="Arial" w:cs="Arial" w:eastAsia="Arial" w:hAnsi="Arial"/>
        <w:b/>
        <w:bCs/>
        <w:color w:val="9A3412"/>
        <w:sz w:val="16"/>
        <w:szCs w:val="16"/>
      </w:rPr>
      <w:t xml:space="preserve">SECURE BY DESIGN TRAINING SAMPLE - NOT AN OFFICIAL FORM. Fictional data only.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  <w:lvl w:ilvl="1" w15:tentative="1">
      <w:start w:val="1"/>
      <w:numFmt w:val="bullet"/>
      <w:lvlText w:val="–"/>
      <w:lvlJc w:val="left"/>
      <w:pPr>
        <w:ind w:left="900" w:hanging="27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abstractNum w:abstractNumId="6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abstractNum w:abstractNumId="7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abstractNum w:abstractNumId="8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6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Incident Response Plan</dc:title>
  <dc:creator>Secure By Design</dc:creator>
  <dc:description>Training sample written by Secure By Design from the JSIG and NIST SP 800-53 Rev. 5. Not an official form. Fictional data only.</dc:description>
  <cp:lastModifiedBy>Secure By Design</cp:lastModifiedBy>
  <cp:revision>1</cp:revision>
  <dcterms:created xsi:type="dcterms:W3CDTF">2026-10-15T18:20:13.560Z</dcterms:created>
  <dcterms:modified xsi:type="dcterms:W3CDTF">2026-10-15T18:20:13.560Z</dcterms:modified>
  <dc:subject>Secure By Design training sample: Incident Response (IR)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