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5E75"/>
          <w:sz w:val="16"/>
          <w:szCs w:val="16"/>
        </w:rPr>
        <w:t xml:space="preserve">SECURE BY DESIGN  /  TRAINING SAMPLE</w:t>
      </w:r>
    </w:p>
    <w:p>
      <w:pPr>
        <w:spacing w:after="80"/>
      </w:pPr>
      <w:r>
        <w:rPr>
          <w:rFonts w:ascii="Arial" w:cs="Arial" w:eastAsia="Arial" w:hAnsi="Arial"/>
          <w:b/>
          <w:bCs/>
          <w:color w:val="1A2E42"/>
          <w:sz w:val="40"/>
          <w:szCs w:val="40"/>
        </w:rPr>
        <w:t xml:space="preserve">Continuous Monitoring Strategy</w:t>
      </w:r>
    </w:p>
    <w:p>
      <w:pPr>
        <w:spacing w:after="240"/>
      </w:pPr>
      <w:r>
        <w:rPr>
          <w:rFonts w:ascii="Arial" w:cs="Arial" w:eastAsia="Arial" w:hAnsi="Arial"/>
          <w:color w:val="155E75"/>
          <w:sz w:val="22"/>
          <w:szCs w:val="22"/>
        </w:rPr>
        <w:t xml:space="preserve">System-level strategy for a DoD SAP system (JSIG CA-7 and RMF Step 6)</w:t>
      </w:r>
    </w:p>
    <w:p>
      <w:pPr>
        <w:pBdr>
          <w:left w:val="single" w:color="155E75" w:sz="12" w:space="8"/>
        </w:pBdr>
        <w:spacing w:after="160" w:before="60"/>
      </w:pPr>
      <w:r>
        <w:rPr>
          <w:rFonts w:ascii="Arial" w:cs="Arial" w:eastAsia="Arial" w:hAnsi="Arial"/>
          <w:i/>
          <w:iCs/>
          <w:color w:val="374151"/>
          <w:sz w:val="19"/>
          <w:szCs w:val="19"/>
        </w:rPr>
        <w:t xml:space="preserve">Every bracketed field is for the learner to complete. Rows shaded green are worked examples with fictional values; replace them with your own decisions.</w:t>
      </w:r>
    </w:p>
    <w:p>
      <w:pPr>
        <w:pStyle w:val="Heading1"/>
        <w:spacing w:after="120" w:before="240"/>
      </w:pPr>
      <w:r>
        <w:rPr>
          <w:rFonts w:ascii="Arial" w:cs="Arial" w:eastAsia="Arial" w:hAnsi="Arial"/>
          <w:b/>
          <w:bCs/>
          <w:color w:val="1A2E42"/>
          <w:sz w:val="30"/>
          <w:szCs w:val="30"/>
        </w:rPr>
        <w:t xml:space="preserve">1. Purpose and scope</w:t>
      </w:r>
    </w:p>
    <w:p>
      <w:pPr>
        <w:spacing w:after="120" w:line="276"/>
      </w:pPr>
      <w:r>
        <w:rPr>
          <w:rFonts w:ascii="Arial" w:cs="Arial" w:eastAsia="Arial" w:hAnsi="Arial"/>
          <w:sz w:val="21"/>
          <w:szCs w:val="21"/>
        </w:rPr>
        <w:t xml:space="preserve">This strategy describes how the security of </w:t>
      </w:r>
      <w:r>
        <w:rPr>
          <w:rFonts w:ascii="Arial" w:cs="Arial" w:eastAsia="Arial" w:hAnsi="Arial"/>
          <w:color w:val="9A3412"/>
          <w:sz w:val="19"/>
          <w:szCs w:val="19"/>
        </w:rPr>
        <w:t xml:space="preserve">[system name and unique identifier]</w:t>
      </w:r>
      <w:r>
        <w:rPr>
          <w:rFonts w:ascii="Arial" w:cs="Arial" w:eastAsia="Arial" w:hAnsi="Arial"/>
          <w:sz w:val="21"/>
          <w:szCs w:val="21"/>
        </w:rPr>
        <w:t xml:space="preserve"> will be monitored after authorization so the Authorizing Official (AO) keeps enough current knowledge to decide whether continued operation is acceptable. It covers every component inside the authorization boundary described in the SSP, dated </w:t>
      </w:r>
      <w:r>
        <w:rPr>
          <w:rFonts w:ascii="Arial" w:cs="Arial" w:eastAsia="Arial" w:hAnsi="Arial"/>
          <w:color w:val="9A3412"/>
          <w:sz w:val="19"/>
          <w:szCs w:val="19"/>
        </w:rPr>
        <w:t xml:space="preserve">[SSP date]</w:t>
      </w:r>
      <w:r>
        <w:rPr>
          <w:rFonts w:ascii="Arial" w:cs="Arial" w:eastAsia="Arial" w:hAnsi="Arial"/>
          <w:sz w:val="21"/>
          <w:szCs w:val="21"/>
        </w:rPr>
        <w:t xml:space="preserve">.</w:t>
      </w:r>
    </w:p>
    <w:p>
      <w:pPr>
        <w:spacing w:after="120" w:line="276"/>
      </w:pPr>
      <w:r>
        <w:rPr>
          <w:rFonts w:ascii="Arial" w:cs="Arial" w:eastAsia="Arial" w:hAnsi="Arial"/>
          <w:sz w:val="21"/>
          <w:szCs w:val="21"/>
        </w:rPr>
        <w:t xml:space="preserve">The JSIG makes the ConMon Strategy or Plan part of the SSP, alongside the SCTM and the RAR. The level of detail depends on the system and its environment; the AO and SCA say how much is required.</w:t>
      </w:r>
    </w:p>
    <w:p>
      <w:pPr>
        <w:pStyle w:val="Heading1"/>
        <w:spacing w:after="120" w:before="240"/>
      </w:pPr>
      <w:r>
        <w:rPr>
          <w:rFonts w:ascii="Arial" w:cs="Arial" w:eastAsia="Arial" w:hAnsi="Arial"/>
          <w:b/>
          <w:bCs/>
          <w:color w:val="1A2E42"/>
          <w:sz w:val="30"/>
          <w:szCs w:val="30"/>
        </w:rPr>
        <w:t xml:space="preserve">2.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Role</w:t>
            </w:r>
          </w:p>
        </w:tc>
        <w:tc>
          <w:tcPr>
            <w:tcW w:type="dxa" w:w="748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Continuous monitoring responsibilities</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AO / DAO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Reviews security status reports, decides whether risk remains acceptable, approves significant changes and decides when reauthorization is needed.</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ISSM</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Manages, maintains and executes this plan (JSIG 1.5.14). Assesses changes that could affect the authorization. Reports serious or unresolved violations to the AO/DAO.</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Runs day-to-day monitoring, periodic compliance reviews and change coordination. Reports incidents to the ISSM.</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Information System Owner (ISO)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Documents changes, keeps the SSP/SCTM, RAR, ConMon strategy and POA&amp;M current, and updates the POA&amp;M.</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SCA</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Performs ongoing assessments and decides further action on security-relevant changes.</w:t>
            </w:r>
          </w:p>
        </w:tc>
      </w:tr>
    </w:tbl>
    <w:p>
      <w:pPr>
        <w:pStyle w:val="Heading1"/>
        <w:spacing w:after="120" w:before="240"/>
      </w:pPr>
      <w:r>
        <w:rPr>
          <w:rFonts w:ascii="Arial" w:cs="Arial" w:eastAsia="Arial" w:hAnsi="Arial"/>
          <w:b/>
          <w:bCs/>
          <w:color w:val="1A2E42"/>
          <w:sz w:val="30"/>
          <w:szCs w:val="30"/>
        </w:rPr>
        <w:t xml:space="preserve">3. Metrics to monitor (CA-7 a)</w:t>
      </w:r>
    </w:p>
    <w:p>
      <w:pPr>
        <w:spacing w:after="120" w:line="276"/>
      </w:pPr>
      <w:r>
        <w:rPr>
          <w:rFonts w:ascii="Arial" w:cs="Arial" w:eastAsia="Arial" w:hAnsi="Arial"/>
          <w:sz w:val="21"/>
          <w:szCs w:val="21"/>
        </w:rPr>
        <w:t xml:space="preserve">List the system-level metrics, where each comes from, how often it is collected, the threshold that triggers action, and who receives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1872"/>
        <w:gridCol w:w="1217"/>
        <w:gridCol w:w="2246"/>
        <w:gridCol w:w="1591"/>
      </w:tblGrid>
      <w:tr>
        <w:trPr>
          <w:cantSplit/>
          <w:tblHeader/>
        </w:trPr>
        <w:tc>
          <w:tcPr>
            <w:tcW w:type="dxa" w:w="2434"/>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Metric</w:t>
            </w:r>
          </w:p>
        </w:tc>
        <w:tc>
          <w:tcPr>
            <w:tcW w:type="dxa" w:w="1872"/>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Source</w:t>
            </w:r>
          </w:p>
        </w:tc>
        <w:tc>
          <w:tcPr>
            <w:tcW w:type="dxa" w:w="1217"/>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Frequency</w:t>
            </w:r>
          </w:p>
        </w:tc>
        <w:tc>
          <w:tcPr>
            <w:tcW w:type="dxa" w:w="2246"/>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Threshold for action</w:t>
            </w:r>
          </w:p>
        </w:tc>
        <w:tc>
          <w:tcPr>
            <w:tcW w:type="dxa" w:w="1591"/>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Reported to</w:t>
            </w:r>
          </w:p>
        </w:tc>
      </w:tr>
      <w:tr>
        <w:trPr>
          <w:cantSplit/>
        </w:trPr>
        <w:tc>
          <w:tcPr>
            <w:tcW w:type="dxa" w:w="2434"/>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Open vulnerabilities by severity</w:t>
            </w:r>
          </w:p>
        </w:tc>
        <w:tc>
          <w:tcPr>
            <w:tcW w:type="dxa" w:w="187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Vulnerability scanner</w:t>
            </w:r>
          </w:p>
        </w:tc>
        <w:tc>
          <w:tcPr>
            <w:tcW w:type="dxa" w:w="1217"/>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Monthly</w:t>
            </w:r>
          </w:p>
        </w:tc>
        <w:tc>
          <w:tcPr>
            <w:tcW w:type="dxa" w:w="2246"/>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Any High or Very High finding</w:t>
            </w:r>
          </w:p>
        </w:tc>
        <w:tc>
          <w:tcPr>
            <w:tcW w:type="dxa" w:w="1591"/>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ISSM, AO monthly</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STIG compliance percentage</w:t>
            </w:r>
          </w:p>
        </w:tc>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SCAP Compliance Checker, STIG Viewer</w:t>
            </w:r>
          </w:p>
        </w:tc>
        <w:tc>
          <w:tcPr>
            <w:tcW w:type="dxa" w:w="1217"/>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24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[threshold]</w:t>
            </w:r>
          </w:p>
        </w:tc>
        <w:tc>
          <w:tcPr>
            <w:tcW w:type="dxa" w:w="159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Overdue POA&amp;M milestones</w:t>
            </w:r>
          </w:p>
        </w:tc>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POA&amp;M</w:t>
            </w:r>
          </w:p>
        </w:tc>
        <w:tc>
          <w:tcPr>
            <w:tcW w:type="dxa" w:w="1217"/>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24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[threshold]</w:t>
            </w:r>
          </w:p>
        </w:tc>
        <w:tc>
          <w:tcPr>
            <w:tcW w:type="dxa" w:w="159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Unauthorized hardware or software found</w:t>
            </w:r>
          </w:p>
        </w:tc>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Inventory review, scans</w:t>
            </w:r>
          </w:p>
        </w:tc>
        <w:tc>
          <w:tcPr>
            <w:tcW w:type="dxa" w:w="1217"/>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24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Any</w:t>
            </w:r>
          </w:p>
        </w:tc>
        <w:tc>
          <w:tcPr>
            <w:tcW w:type="dxa" w:w="159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Audit review completed on schedule</w:t>
            </w:r>
          </w:p>
        </w:tc>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Audit logs, ISSO record</w:t>
            </w:r>
          </w:p>
        </w:tc>
        <w:tc>
          <w:tcPr>
            <w:tcW w:type="dxa" w:w="1217"/>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24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[threshold]</w:t>
            </w:r>
          </w:p>
        </w:tc>
        <w:tc>
          <w:tcPr>
            <w:tcW w:type="dxa" w:w="159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User accounts reviewed</w:t>
            </w:r>
          </w:p>
        </w:tc>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Account review record</w:t>
            </w:r>
          </w:p>
        </w:tc>
        <w:tc>
          <w:tcPr>
            <w:tcW w:type="dxa" w:w="1217"/>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24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[threshold]</w:t>
            </w:r>
          </w:p>
        </w:tc>
        <w:tc>
          <w:tcPr>
            <w:tcW w:type="dxa" w:w="159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bl>
    <w:p>
      <w:pPr>
        <w:pStyle w:val="Heading1"/>
        <w:spacing w:after="120" w:before="240"/>
      </w:pPr>
      <w:r>
        <w:rPr>
          <w:rFonts w:ascii="Arial" w:cs="Arial" w:eastAsia="Arial" w:hAnsi="Arial"/>
          <w:b/>
          <w:bCs/>
          <w:color w:val="1A2E42"/>
          <w:sz w:val="30"/>
          <w:szCs w:val="30"/>
        </w:rPr>
        <w:t xml:space="preserve">4. Monitoring and assessment frequencies (CA-7 b, c)</w:t>
      </w:r>
    </w:p>
    <w:p>
      <w:pPr>
        <w:spacing w:after="120" w:line="276"/>
      </w:pPr>
      <w:r>
        <w:rPr>
          <w:rFonts w:ascii="Arial" w:cs="Arial" w:eastAsia="Arial" w:hAnsi="Arial"/>
          <w:sz w:val="21"/>
          <w:szCs w:val="21"/>
        </w:rPr>
        <w:t xml:space="preserve">Set how often each control or group of controls is monitored and assessed. Base the frequency on how volatile the control is, its importance to the system and the AO's direction. Use the SCTM as the control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2808"/>
        <w:gridCol w:w="2059"/>
        <w:gridCol w:w="2059"/>
      </w:tblGrid>
      <w:tr>
        <w:trPr>
          <w:cantSplit/>
          <w:tblHeader/>
        </w:trPr>
        <w:tc>
          <w:tcPr>
            <w:tcW w:type="dxa" w:w="2434"/>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Controls</w:t>
            </w:r>
          </w:p>
        </w:tc>
        <w:tc>
          <w:tcPr>
            <w:tcW w:type="dxa" w:w="280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Monitoring method</w:t>
            </w:r>
          </w:p>
        </w:tc>
        <w:tc>
          <w:tcPr>
            <w:tcW w:type="dxa" w:w="2059"/>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Monitoring frequency</w:t>
            </w:r>
          </w:p>
        </w:tc>
        <w:tc>
          <w:tcPr>
            <w:tcW w:type="dxa" w:w="2059"/>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Assessment frequency</w:t>
            </w:r>
          </w:p>
        </w:tc>
      </w:tr>
      <w:tr>
        <w:trPr>
          <w:cantSplit/>
        </w:trPr>
        <w:tc>
          <w:tcPr>
            <w:tcW w:type="dxa" w:w="2434"/>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RA-5, SI-2 (vulnerabilities, flaw remediation)</w:t>
            </w:r>
          </w:p>
        </w:tc>
        <w:tc>
          <w:tcPr>
            <w:tcW w:type="dxa" w:w="280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Automated scans and patch status</w:t>
            </w:r>
          </w:p>
        </w:tc>
        <w:tc>
          <w:tcPr>
            <w:tcW w:type="dxa" w:w="2059"/>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Monthly</w:t>
            </w:r>
          </w:p>
        </w:tc>
        <w:tc>
          <w:tcPr>
            <w:tcW w:type="dxa" w:w="2059"/>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Annually</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CM-2, CM-6, CM-8 (baselines, settings, inventory)</w:t>
            </w:r>
          </w:p>
        </w:tc>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[method]</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AC-2, AU-6 (accounts, audit review)</w:t>
            </w:r>
          </w:p>
        </w:tc>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[method]</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r>
      <w:tr>
        <w:trPr>
          <w:cantSplit/>
        </w:trPr>
        <w:tc>
          <w:tcPr>
            <w:tcW w:type="dxa" w:w="2434"/>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Remaining controls</w:t>
            </w:r>
          </w:p>
        </w:tc>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[method]</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w:t>
            </w:r>
          </w:p>
        </w:tc>
      </w:tr>
    </w:tbl>
    <w:p>
      <w:pPr>
        <w:pStyle w:val="Heading1"/>
        <w:spacing w:after="120" w:before="240"/>
      </w:pPr>
      <w:r>
        <w:rPr>
          <w:rFonts w:ascii="Arial" w:cs="Arial" w:eastAsia="Arial" w:hAnsi="Arial"/>
          <w:b/>
          <w:bCs/>
          <w:color w:val="1A2E42"/>
          <w:sz w:val="30"/>
          <w:szCs w:val="30"/>
        </w:rPr>
        <w:t xml:space="preserve">5. Analysis and response (CA-7 d, e, f)</w:t>
      </w:r>
    </w:p>
    <w:p>
      <w:pPr>
        <w:pStyle w:val="ListParagraph"/>
        <w:numPr>
          <w:ilvl w:val="0"/>
          <w:numId w:val="2"/>
        </w:numPr>
        <w:spacing w:after="60" w:line="276"/>
      </w:pPr>
      <w:r>
        <w:rPr>
          <w:rFonts w:ascii="Arial" w:cs="Arial" w:eastAsia="Arial" w:hAnsi="Arial"/>
          <w:sz w:val="21"/>
          <w:szCs w:val="21"/>
        </w:rPr>
        <w:t xml:space="preserve">Correlate scan, audit, inventory and assessment results each reporting period, and record the analysis.</w:t>
      </w:r>
    </w:p>
    <w:p>
      <w:pPr>
        <w:pStyle w:val="ListParagraph"/>
        <w:numPr>
          <w:ilvl w:val="0"/>
          <w:numId w:val="2"/>
        </w:numPr>
        <w:spacing w:after="60" w:line="276"/>
      </w:pPr>
      <w:r>
        <w:rPr>
          <w:rFonts w:ascii="Arial" w:cs="Arial" w:eastAsia="Arial" w:hAnsi="Arial"/>
          <w:sz w:val="21"/>
          <w:szCs w:val="21"/>
        </w:rPr>
        <w:t xml:space="preserve">Open a POA&amp;M item for each new weakness, with resources, milestones and scheduled completion dates (JSIG Task 5-1).</w:t>
      </w:r>
    </w:p>
    <w:p>
      <w:pPr>
        <w:pStyle w:val="ListParagraph"/>
        <w:numPr>
          <w:ilvl w:val="0"/>
          <w:numId w:val="2"/>
        </w:numPr>
        <w:spacing w:after="60" w:line="276"/>
      </w:pPr>
      <w:r>
        <w:rPr>
          <w:rFonts w:ascii="Arial" w:cs="Arial" w:eastAsia="Arial" w:hAnsi="Arial"/>
          <w:sz w:val="21"/>
          <w:szCs w:val="21"/>
        </w:rPr>
        <w:t xml:space="preserve">Escalate findings above the thresholds in section 3 to </w:t>
      </w:r>
      <w:r>
        <w:rPr>
          <w:rFonts w:ascii="Arial" w:cs="Arial" w:eastAsia="Arial" w:hAnsi="Arial"/>
          <w:color w:val="9A3412"/>
          <w:sz w:val="19"/>
          <w:szCs w:val="19"/>
        </w:rPr>
        <w:t xml:space="preserve">[role]</w:t>
      </w:r>
      <w:r>
        <w:rPr>
          <w:rFonts w:ascii="Arial" w:cs="Arial" w:eastAsia="Arial" w:hAnsi="Arial"/>
          <w:sz w:val="21"/>
          <w:szCs w:val="21"/>
        </w:rPr>
        <w:t xml:space="preserve"> within </w:t>
      </w:r>
      <w:r>
        <w:rPr>
          <w:rFonts w:ascii="Arial" w:cs="Arial" w:eastAsia="Arial" w:hAnsi="Arial"/>
          <w:color w:val="9A3412"/>
          <w:sz w:val="19"/>
          <w:szCs w:val="19"/>
        </w:rPr>
        <w:t xml:space="preserve">[time]</w:t>
      </w:r>
      <w:r>
        <w:rPr>
          <w:rFonts w:ascii="Arial" w:cs="Arial" w:eastAsia="Arial" w:hAnsi="Arial"/>
          <w:sz w:val="21"/>
          <w:szCs w:val="21"/>
        </w:rPr>
        <w:t xml:space="preserve">.</w:t>
      </w:r>
    </w:p>
    <w:p>
      <w:pPr>
        <w:pStyle w:val="Heading1"/>
        <w:spacing w:after="120" w:before="240"/>
      </w:pPr>
      <w:r>
        <w:rPr>
          <w:rFonts w:ascii="Arial" w:cs="Arial" w:eastAsia="Arial" w:hAnsi="Arial"/>
          <w:b/>
          <w:bCs/>
          <w:color w:val="1A2E42"/>
          <w:sz w:val="30"/>
          <w:szCs w:val="30"/>
        </w:rPr>
        <w:t xml:space="preserve">6. Reporting (CA-7 g)</w:t>
      </w:r>
    </w:p>
    <w:p>
      <w:pPr>
        <w:spacing w:after="120" w:line="276"/>
      </w:pPr>
      <w:r>
        <w:rPr>
          <w:rFonts w:ascii="Arial" w:cs="Arial" w:eastAsia="Arial" w:hAnsi="Arial"/>
          <w:sz w:val="21"/>
          <w:szCs w:val="21"/>
        </w:rPr>
        <w:t xml:space="preserve">Report the security status of the system to </w:t>
      </w:r>
      <w:r>
        <w:rPr>
          <w:rFonts w:ascii="Arial" w:cs="Arial" w:eastAsia="Arial" w:hAnsi="Arial"/>
          <w:color w:val="9A3412"/>
          <w:sz w:val="19"/>
          <w:szCs w:val="19"/>
        </w:rPr>
        <w:t xml:space="preserve">[AO / DAO and other roles]</w:t>
      </w:r>
      <w:r>
        <w:rPr>
          <w:rFonts w:ascii="Arial" w:cs="Arial" w:eastAsia="Arial" w:hAnsi="Arial"/>
          <w:sz w:val="21"/>
          <w:szCs w:val="21"/>
        </w:rPr>
        <w:t xml:space="preserve"> at least annually or when there is a significant change to the system or its environment (the JSIG value), and </w:t>
      </w:r>
      <w:r>
        <w:rPr>
          <w:rFonts w:ascii="Arial" w:cs="Arial" w:eastAsia="Arial" w:hAnsi="Arial"/>
          <w:color w:val="9A3412"/>
          <w:sz w:val="19"/>
          <w:szCs w:val="19"/>
        </w:rPr>
        <w:t xml:space="preserve">[more often if your AO directs]</w:t>
      </w:r>
      <w:r>
        <w:rPr>
          <w:rFonts w:ascii="Arial" w:cs="Arial" w:eastAsia="Arial" w:hAnsi="Arial"/>
          <w:sz w:val="21"/>
          <w:szCs w:val="21"/>
        </w:rPr>
        <w:t xml:space="preserve">.</w:t>
      </w:r>
    </w:p>
    <w:p>
      <w:pPr>
        <w:spacing w:after="120" w:line="276"/>
      </w:pPr>
      <w:r>
        <w:rPr>
          <w:rFonts w:ascii="Arial" w:cs="Arial" w:eastAsia="Arial" w:hAnsi="Arial"/>
          <w:sz w:val="21"/>
          <w:szCs w:val="21"/>
        </w:rPr>
        <w:t xml:space="preserve">Each report includes: open findings by severity, POA&amp;M progress, changes made since the last report, and any proposed change awaiting approval. Format: </w:t>
      </w:r>
      <w:r>
        <w:rPr>
          <w:rFonts w:ascii="Arial" w:cs="Arial" w:eastAsia="Arial" w:hAnsi="Arial"/>
          <w:color w:val="9A3412"/>
          <w:sz w:val="19"/>
          <w:szCs w:val="19"/>
        </w:rPr>
        <w:t xml:space="preserve">[report format]</w:t>
      </w:r>
      <w:r>
        <w:rPr>
          <w:rFonts w:ascii="Arial" w:cs="Arial" w:eastAsia="Arial" w:hAnsi="Arial"/>
          <w:sz w:val="21"/>
          <w:szCs w:val="21"/>
        </w:rPr>
        <w:t xml:space="preserve">.</w:t>
      </w:r>
    </w:p>
    <w:p>
      <w:pPr>
        <w:pStyle w:val="Heading1"/>
        <w:spacing w:after="120" w:before="240"/>
      </w:pPr>
      <w:r>
        <w:rPr>
          <w:rFonts w:ascii="Arial" w:cs="Arial" w:eastAsia="Arial" w:hAnsi="Arial"/>
          <w:b/>
          <w:bCs/>
          <w:color w:val="1A2E42"/>
          <w:sz w:val="30"/>
          <w:szCs w:val="30"/>
        </w:rPr>
        <w:t xml:space="preserve">7. Changes and security impact analysis</w:t>
      </w:r>
    </w:p>
    <w:p>
      <w:pPr>
        <w:pStyle w:val="ListParagraph"/>
        <w:numPr>
          <w:ilvl w:val="0"/>
          <w:numId w:val="2"/>
        </w:numPr>
        <w:spacing w:after="60" w:line="276"/>
      </w:pPr>
      <w:r>
        <w:rPr>
          <w:rFonts w:ascii="Arial" w:cs="Arial" w:eastAsia="Arial" w:hAnsi="Arial"/>
          <w:sz w:val="21"/>
          <w:szCs w:val="21"/>
        </w:rPr>
        <w:t xml:space="preserve">Document every proposed or actual change to the system or its environment, and analyze its security impact before it is implemented (CM-4). Use the configuration management plan's change process.</w:t>
      </w:r>
    </w:p>
    <w:p>
      <w:pPr>
        <w:pStyle w:val="ListParagraph"/>
        <w:numPr>
          <w:ilvl w:val="0"/>
          <w:numId w:val="2"/>
        </w:numPr>
        <w:spacing w:after="60" w:line="276"/>
      </w:pPr>
      <w:r>
        <w:rPr>
          <w:rFonts w:ascii="Arial" w:cs="Arial" w:eastAsia="Arial" w:hAnsi="Arial"/>
          <w:sz w:val="21"/>
          <w:szCs w:val="21"/>
        </w:rPr>
        <w:t xml:space="preserve">No security-related change is implemented without first consulting the appropriate officials, such as the CCB and the SCA. If the analysis finds a significant security-relevant change, the AO's documented approval is required.</w:t>
      </w:r>
    </w:p>
    <w:p>
      <w:pPr>
        <w:pStyle w:val="ListParagraph"/>
        <w:numPr>
          <w:ilvl w:val="0"/>
          <w:numId w:val="2"/>
        </w:numPr>
        <w:spacing w:after="60" w:line="276"/>
      </w:pPr>
      <w:r>
        <w:rPr>
          <w:rFonts w:ascii="Arial" w:cs="Arial" w:eastAsia="Arial" w:hAnsi="Arial"/>
          <w:sz w:val="21"/>
          <w:szCs w:val="21"/>
        </w:rPr>
        <w:t xml:space="preserve">When a change affects the security state of the system, notify the SCA. The SCA decides what further action is needed.</w:t>
      </w:r>
    </w:p>
    <w:p>
      <w:pPr>
        <w:pStyle w:val="ListParagraph"/>
        <w:numPr>
          <w:ilvl w:val="0"/>
          <w:numId w:val="2"/>
        </w:numPr>
        <w:spacing w:after="60" w:line="276"/>
      </w:pPr>
      <w:r>
        <w:rPr>
          <w:rFonts w:ascii="Arial" w:cs="Arial" w:eastAsia="Arial" w:hAnsi="Arial"/>
          <w:sz w:val="21"/>
          <w:szCs w:val="21"/>
        </w:rPr>
        <w:t xml:space="preserve">After a change, update the SSP/SCTM, RAR, this strategy and the POA&amp;M. The AO uses the revised SAR to decide whether reauthorization is needed.</w:t>
      </w:r>
    </w:p>
    <w:p>
      <w:pPr>
        <w:pStyle w:val="Heading1"/>
        <w:spacing w:after="120" w:before="240"/>
      </w:pPr>
      <w:r>
        <w:rPr>
          <w:rFonts w:ascii="Arial" w:cs="Arial" w:eastAsia="Arial" w:hAnsi="Arial"/>
          <w:b/>
          <w:bCs/>
          <w:color w:val="1A2E42"/>
          <w:sz w:val="30"/>
          <w:szCs w:val="30"/>
        </w:rPr>
        <w:t xml:space="preserve">8. Review and approval</w:t>
      </w:r>
    </w:p>
    <w:p>
      <w:pPr>
        <w:spacing w:after="120" w:line="276"/>
      </w:pPr>
      <w:r>
        <w:rPr>
          <w:rFonts w:ascii="Arial" w:cs="Arial" w:eastAsia="Arial" w:hAnsi="Arial"/>
          <w:sz w:val="21"/>
          <w:szCs w:val="21"/>
        </w:rPr>
        <w:t xml:space="preserve">This strategy is reviewed </w:t>
      </w:r>
      <w:r>
        <w:rPr>
          <w:rFonts w:ascii="Arial" w:cs="Arial" w:eastAsia="Arial" w:hAnsi="Arial"/>
          <w:color w:val="9A3412"/>
          <w:sz w:val="19"/>
          <w:szCs w:val="19"/>
        </w:rPr>
        <w:t xml:space="preserve">[frequency]</w:t>
      </w:r>
      <w:r>
        <w:rPr>
          <w:rFonts w:ascii="Arial" w:cs="Arial" w:eastAsia="Arial" w:hAnsi="Arial"/>
          <w:sz w:val="21"/>
          <w:szCs w:val="21"/>
        </w:rPr>
        <w:t xml:space="preserve"> and when the system or its environment changes significantly. Approved by: </w:t>
      </w:r>
      <w:r>
        <w:rPr>
          <w:rFonts w:ascii="Arial" w:cs="Arial" w:eastAsia="Arial" w:hAnsi="Arial"/>
          <w:color w:val="9A3412"/>
          <w:sz w:val="19"/>
          <w:szCs w:val="19"/>
        </w:rPr>
        <w:t xml:space="preserve">[AO / DAO name and date]</w:t>
      </w:r>
      <w:r>
        <w:rPr>
          <w:rFonts w:ascii="Arial" w:cs="Arial" w:eastAsia="Arial" w:hAnsi="Arial"/>
          <w:sz w:val="21"/>
          <w:szCs w:val="21"/>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23"/>
        <w:gridCol w:w="1498"/>
        <w:gridCol w:w="4680"/>
        <w:gridCol w:w="2059"/>
      </w:tblGrid>
      <w:tr>
        <w:trPr>
          <w:cantSplit/>
          <w:tblHeader/>
        </w:trPr>
        <w:tc>
          <w:tcPr>
            <w:tcW w:type="dxa" w:w="1123"/>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Version</w:t>
            </w:r>
          </w:p>
        </w:tc>
        <w:tc>
          <w:tcPr>
            <w:tcW w:type="dxa" w:w="149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Date</w:t>
            </w:r>
          </w:p>
        </w:tc>
        <w:tc>
          <w:tcPr>
            <w:tcW w:type="dxa" w:w="4680"/>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Change</w:t>
            </w:r>
          </w:p>
        </w:tc>
        <w:tc>
          <w:tcPr>
            <w:tcW w:type="dxa" w:w="2059"/>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Approved by</w:t>
            </w:r>
          </w:p>
        </w:tc>
      </w:tr>
      <w:tr>
        <w:trPr>
          <w:cantSplit/>
        </w:trPr>
        <w:tc>
          <w:tcPr>
            <w:tcW w:type="dxa" w:w="1123"/>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1.0</w:t>
            </w:r>
          </w:p>
        </w:tc>
        <w:tc>
          <w:tcPr>
            <w:tcW w:type="dxa" w:w="149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[date]</w:t>
            </w:r>
          </w:p>
        </w:tc>
        <w:tc>
          <w:tcPr>
            <w:tcW w:type="dxa" w:w="4680"/>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Initial strategy</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[name]</w:t>
            </w:r>
          </w:p>
        </w:tc>
      </w:tr>
    </w:tbl>
    <w:p>
      <w:pPr>
        <w:pStyle w:val="Heading2"/>
        <w:spacing w:after="100" w:before="200"/>
      </w:pPr>
      <w:r>
        <w:rPr>
          <w:rFonts w:ascii="Arial" w:cs="Arial" w:eastAsia="Arial" w:hAnsi="Arial"/>
          <w:b/>
          <w:bCs/>
          <w:color w:val="155E75"/>
          <w:sz w:val="24"/>
          <w:szCs w:val="24"/>
        </w:rPr>
        <w:t xml:space="preserve">Sources</w:t>
      </w:r>
    </w:p>
    <w:p>
      <w:pPr>
        <w:pStyle w:val="ListParagraph"/>
        <w:numPr>
          <w:ilvl w:val="0"/>
          <w:numId w:val="2"/>
        </w:numPr>
        <w:spacing w:after="60" w:line="276"/>
      </w:pPr>
      <w:r>
        <w:rPr>
          <w:rFonts w:ascii="Arial" w:cs="Arial" w:eastAsia="Arial" w:hAnsi="Arial"/>
          <w:sz w:val="21"/>
          <w:szCs w:val="21"/>
        </w:rPr>
        <w:t xml:space="preserve">DoD Joint SAP Implementation Guide (JSIG), 11 April 2016: RMF Step 6 and controls CA-6, CA-7, CM-3 and CM-4 (public on dcsa.mil).</w:t>
      </w:r>
    </w:p>
    <w:p>
      <w:pPr>
        <w:pStyle w:val="ListParagraph"/>
        <w:numPr>
          <w:ilvl w:val="0"/>
          <w:numId w:val="2"/>
        </w:numPr>
        <w:spacing w:after="60" w:line="276"/>
      </w:pPr>
      <w:r>
        <w:rPr>
          <w:rFonts w:ascii="Arial" w:cs="Arial" w:eastAsia="Arial" w:hAnsi="Arial"/>
          <w:sz w:val="21"/>
          <w:szCs w:val="21"/>
        </w:rPr>
        <w:t xml:space="preserve">NIST SP 800-53 Rev. 5, Release 5.2.0, control CA-7.</w:t>
      </w:r>
    </w:p>
    <w:p>
      <w:pPr>
        <w:pStyle w:val="ListParagraph"/>
        <w:numPr>
          <w:ilvl w:val="0"/>
          <w:numId w:val="2"/>
        </w:numPr>
        <w:spacing w:after="60" w:line="276"/>
      </w:pPr>
      <w:r>
        <w:rPr>
          <w:rFonts w:ascii="Arial" w:cs="Arial" w:eastAsia="Arial" w:hAnsi="Arial"/>
          <w:sz w:val="21"/>
          <w:szCs w:val="21"/>
        </w:rPr>
        <w:t xml:space="preserve">NIST SP 800-137, Information Security Continuous Monitoring for Federal Information Systems and Organizations.</w:t>
      </w:r>
    </w:p>
    <w:p>
      <w:pPr>
        <w:pBdr>
          <w:left w:val="single" w:color="155E75" w:sz="12" w:space="8"/>
        </w:pBdr>
        <w:spacing w:after="160" w:before="60"/>
      </w:pPr>
      <w:r>
        <w:rPr>
          <w:rFonts w:ascii="Arial" w:cs="Arial" w:eastAsia="Arial" w:hAnsi="Arial"/>
          <w:i/>
          <w:iCs/>
          <w:color w:val="374151"/>
          <w:sz w:val="19"/>
          <w:szCs w:val="19"/>
        </w:rPr>
        <w:t xml:space="preserve">Written by Secure By Design for instruction. This is not an official DoD, DCSA, PSO or AO form. On a real system, use the templates your AO and PSO direct, and do not enter real program or personal information in a training copy.</w:t>
      </w:r>
    </w:p>
    <w:sectPr>
      <w:headerReference w:type="default" r:id="rId7"/>
      <w:footerReference w:type="default" r:id="rId8"/>
      <w:pgSz w:w="12240" w:h="15840"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Continuous Monitoring Strategy  ·  Secure By Design training sample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3412" w:sz="6" w:space="4"/>
      </w:pBdr>
      <w:jc w:val="center"/>
    </w:pPr>
    <w:r>
      <w:rPr>
        <w:rFonts w:ascii="Arial" w:cs="Arial" w:eastAsia="Arial" w:hAnsi="Arial"/>
        <w:b/>
        <w:bCs/>
        <w:color w:val="9A3412"/>
        <w:sz w:val="16"/>
        <w:szCs w:val="16"/>
      </w:rPr>
      <w:t xml:space="preserve">SECURE BY DESIGN TRAINING SAMPLE - NOT AN OFFICIAL FORM. Fictional data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9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Continuous Monitoring Strategy</dc:title>
  <dc:creator>Secure By Design</dc:creator>
  <dc:description>Secure By Design training sample. Not an official form.</dc:description>
  <cp:lastModifiedBy>Un-named</cp:lastModifiedBy>
  <cp:revision>1</cp:revision>
  <dcterms:created xsi:type="dcterms:W3CDTF">2026-10-15T18:20:13.554Z</dcterms:created>
  <dcterms:modified xsi:type="dcterms:W3CDTF">2026-10-15T18:20:13.554Z</dcterms:modified>
</cp:coreProperties>
</file>

<file path=docProps/custom.xml><?xml version="1.0" encoding="utf-8"?>
<Properties xmlns="http://schemas.openxmlformats.org/officeDocument/2006/custom-properties" xmlns:vt="http://schemas.openxmlformats.org/officeDocument/2006/docPropsVTypes"/>
</file>