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55E75"/>
          <w:sz w:val="16"/>
          <w:szCs w:val="16"/>
        </w:rPr>
        <w:t xml:space="preserve">SECURE BY DESIGN  /  TRAINING SAMPLE</w:t>
      </w:r>
    </w:p>
    <w:p>
      <w:pPr>
        <w:spacing w:after="80"/>
      </w:pPr>
      <w:r>
        <w:rPr>
          <w:rFonts w:ascii="Arial" w:cs="Arial" w:eastAsia="Arial" w:hAnsi="Arial"/>
          <w:b/>
          <w:bCs/>
          <w:color w:val="1A2E42"/>
          <w:sz w:val="40"/>
          <w:szCs w:val="40"/>
        </w:rPr>
        <w:t xml:space="preserve">Configuration Management Plan</w:t>
      </w:r>
    </w:p>
    <w:p>
      <w:pPr>
        <w:spacing w:after="240"/>
      </w:pPr>
      <w:r>
        <w:rPr>
          <w:rFonts w:ascii="Arial" w:cs="Arial" w:eastAsia="Arial" w:hAnsi="Arial"/>
          <w:color w:val="155E75"/>
          <w:sz w:val="22"/>
          <w:szCs w:val="22"/>
        </w:rPr>
        <w:t xml:space="preserve">System-level CM plan for a DoD SAP system (JSIG CM-9, NIST SP 800-53 Rev. 5 CM-9)</w:t>
      </w:r>
    </w:p>
    <w:p>
      <w:pPr>
        <w:pBdr>
          <w:left w:val="single" w:color="155E75" w:sz="12" w:space="8"/>
        </w:pBdr>
        <w:spacing w:after="160" w:before="60"/>
      </w:pPr>
      <w:r>
        <w:rPr>
          <w:rFonts w:ascii="Arial" w:cs="Arial" w:eastAsia="Arial" w:hAnsi="Arial"/>
          <w:i/>
          <w:iCs/>
          <w:color w:val="374151"/>
          <w:sz w:val="19"/>
          <w:szCs w:val="19"/>
        </w:rPr>
        <w:t xml:space="preserve">Every bracketed field is for the learner to complete. Rows shaded green are worked examples with fictional values. NIST SP 800-128 Appendix D gives a fuller sample outline, and Appendices E, H and I give a change request, a CCB charter and a security impact analysis template.</w:t>
      </w:r>
    </w:p>
    <w:p>
      <w:pPr>
        <w:pStyle w:val="Heading1"/>
        <w:spacing w:after="120" w:before="240"/>
      </w:pPr>
      <w:r>
        <w:rPr>
          <w:rFonts w:ascii="Arial" w:cs="Arial" w:eastAsia="Arial" w:hAnsi="Arial"/>
          <w:b/>
          <w:bCs/>
          <w:color w:val="1A2E42"/>
          <w:sz w:val="30"/>
          <w:szCs w:val="30"/>
        </w:rPr>
        <w:t xml:space="preserve">1. Purpose and scope</w:t>
      </w:r>
    </w:p>
    <w:p>
      <w:pPr>
        <w:spacing w:after="120" w:line="276"/>
      </w:pPr>
      <w:r>
        <w:rPr>
          <w:rFonts w:ascii="Arial" w:cs="Arial" w:eastAsia="Arial" w:hAnsi="Arial"/>
          <w:sz w:val="21"/>
          <w:szCs w:val="21"/>
        </w:rPr>
        <w:t xml:space="preserve">This plan describes the roles, responsibilities, processes and procedures for managing the configuration of </w:t>
      </w:r>
      <w:r>
        <w:rPr>
          <w:rFonts w:ascii="Arial" w:cs="Arial" w:eastAsia="Arial" w:hAnsi="Arial"/>
          <w:color w:val="9A3412"/>
          <w:sz w:val="19"/>
          <w:szCs w:val="19"/>
        </w:rPr>
        <w:t xml:space="preserve">[system name and unique identifier]</w:t>
      </w:r>
      <w:r>
        <w:rPr>
          <w:rFonts w:ascii="Arial" w:cs="Arial" w:eastAsia="Arial" w:hAnsi="Arial"/>
          <w:sz w:val="21"/>
          <w:szCs w:val="21"/>
        </w:rPr>
        <w:t xml:space="preserve"> throughout its life cycle. It defines the system's configuration items and places them under configuration management (CM-9 a, b, c).</w:t>
      </w:r>
    </w:p>
    <w:p>
      <w:pPr>
        <w:pStyle w:val="Heading1"/>
        <w:spacing w:after="120" w:before="240"/>
      </w:pPr>
      <w:r>
        <w:rPr>
          <w:rFonts w:ascii="Arial" w:cs="Arial" w:eastAsia="Arial" w:hAnsi="Arial"/>
          <w:b/>
          <w:bCs/>
          <w:color w:val="1A2E42"/>
          <w:sz w:val="30"/>
          <w:szCs w:val="30"/>
        </w:rPr>
        <w:t xml:space="preserve">2.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cantSplit/>
          <w:tblHeader/>
        </w:trPr>
        <w:tc>
          <w:tcPr>
            <w:tcW w:type="dxa" w:w="1872"/>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Role</w:t>
            </w:r>
          </w:p>
        </w:tc>
        <w:tc>
          <w:tcPr>
            <w:tcW w:type="dxa" w:w="7488"/>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CM responsibilities (JSIG CM-9 and CM-3)</w:t>
            </w:r>
          </w:p>
        </w:tc>
      </w:tr>
      <w:tr>
        <w:trPr>
          <w:cantSplit/>
        </w:trPr>
        <w:tc>
          <w:tcPr>
            <w:tcW w:type="dxa" w:w="187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Information System Owner (ISO)</w:t>
            </w:r>
          </w:p>
        </w:tc>
        <w:tc>
          <w:tcPr>
            <w:tcW w:type="dxa" w:w="748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Documents the CM process when a system is developed, procured or delivered, and keeps the AO informed of CM decisions, especially at the Preliminary and Critical Design Reviews.</w:t>
            </w:r>
          </w:p>
        </w:tc>
      </w:tr>
      <w:tr>
        <w:trPr>
          <w:cantSplit/>
        </w:trPr>
        <w:tc>
          <w:tcPr>
            <w:tcW w:type="dxa" w:w="187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ISSM</w:t>
            </w:r>
          </w:p>
        </w:tc>
        <w:tc>
          <w:tcPr>
            <w:tcW w:type="dxa" w:w="748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Ensures procedures exist for authorizing hardware and software on the system, that all changes are documented, and that security-relevant changes are coordinated through the SCA with the AO. Voting member of the CCB with authority to veto any change detrimental to security; appeals go to the AO.</w:t>
            </w:r>
          </w:p>
        </w:tc>
      </w:tr>
      <w:tr>
        <w:trPr>
          <w:cantSplit/>
        </w:trPr>
        <w:tc>
          <w:tcPr>
            <w:tcW w:type="dxa" w:w="187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ISSO</w:t>
            </w:r>
          </w:p>
        </w:tc>
        <w:tc>
          <w:tcPr>
            <w:tcW w:type="dxa" w:w="748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Keeps the hardware and software configuration maintained and documented, follows the ISSM's procedures for authorizing software before it is used, and coordinates every change with the ISSM. CCB member if designated.</w:t>
            </w:r>
          </w:p>
        </w:tc>
      </w:tr>
      <w:tr>
        <w:trPr>
          <w:cantSplit/>
        </w:trPr>
        <w:tc>
          <w:tcPr>
            <w:tcW w:type="dxa" w:w="187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CCB</w:t>
            </w:r>
          </w:p>
        </w:tc>
        <w:tc>
          <w:tcPr>
            <w:tcW w:type="dxa" w:w="748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Reviews and approves or disapproves configuration-controlled changes, with explicit consideration of the security impact analysis (CM-3 b).</w:t>
            </w:r>
          </w:p>
        </w:tc>
      </w:tr>
      <w:tr>
        <w:trPr>
          <w:cantSplit/>
        </w:trPr>
        <w:tc>
          <w:tcPr>
            <w:tcW w:type="dxa" w:w="187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SCA / AO</w:t>
            </w:r>
          </w:p>
        </w:tc>
        <w:tc>
          <w:tcPr>
            <w:tcW w:type="dxa" w:w="748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The SCA decides whether a change is significant when in doubt; the AO approves significant security-relevant changes in writing.</w:t>
            </w:r>
          </w:p>
        </w:tc>
      </w:tr>
    </w:tbl>
    <w:p>
      <w:pPr>
        <w:pStyle w:val="Heading1"/>
        <w:spacing w:after="120" w:before="240"/>
      </w:pPr>
      <w:r>
        <w:rPr>
          <w:rFonts w:ascii="Arial" w:cs="Arial" w:eastAsia="Arial" w:hAnsi="Arial"/>
          <w:b/>
          <w:bCs/>
          <w:color w:val="1A2E42"/>
          <w:sz w:val="30"/>
          <w:szCs w:val="30"/>
        </w:rPr>
        <w:t xml:space="preserve">3. Configuration items</w:t>
      </w:r>
    </w:p>
    <w:p>
      <w:pPr>
        <w:spacing w:after="120" w:line="276"/>
      </w:pPr>
      <w:r>
        <w:rPr>
          <w:rFonts w:ascii="Arial" w:cs="Arial" w:eastAsia="Arial" w:hAnsi="Arial"/>
          <w:sz w:val="21"/>
          <w:szCs w:val="21"/>
        </w:rPr>
        <w:t xml:space="preserve">List everything under configuration control. Link each item to its baseline and the hardware and software lists.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2808"/>
        <w:gridCol w:w="1310"/>
        <w:gridCol w:w="2621"/>
        <w:gridCol w:w="1685"/>
      </w:tblGrid>
      <w:tr>
        <w:trPr>
          <w:cantSplit/>
          <w:tblHeader/>
        </w:trPr>
        <w:tc>
          <w:tcPr>
            <w:tcW w:type="dxa" w:w="936"/>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CI ID</w:t>
            </w:r>
          </w:p>
        </w:tc>
        <w:tc>
          <w:tcPr>
            <w:tcW w:type="dxa" w:w="2808"/>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Configuration item</w:t>
            </w:r>
          </w:p>
        </w:tc>
        <w:tc>
          <w:tcPr>
            <w:tcW w:type="dxa" w:w="1310"/>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Type</w:t>
            </w:r>
          </w:p>
        </w:tc>
        <w:tc>
          <w:tcPr>
            <w:tcW w:type="dxa" w:w="2621"/>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Baseline / standard</w:t>
            </w:r>
          </w:p>
        </w:tc>
        <w:tc>
          <w:tcPr>
            <w:tcW w:type="dxa" w:w="1685"/>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Owner</w:t>
            </w:r>
          </w:p>
        </w:tc>
      </w:tr>
      <w:tr>
        <w:trPr>
          <w:cantSplit/>
        </w:trPr>
        <w:tc>
          <w:tcPr>
            <w:tcW w:type="dxa" w:w="936"/>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CI-001</w:t>
            </w:r>
          </w:p>
        </w:tc>
        <w:tc>
          <w:tcPr>
            <w:tcW w:type="dxa" w:w="2808"/>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Domain controller build (DC01, DC02)</w:t>
            </w:r>
          </w:p>
        </w:tc>
        <w:tc>
          <w:tcPr>
            <w:tcW w:type="dxa" w:w="1310"/>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Server image</w:t>
            </w:r>
          </w:p>
        </w:tc>
        <w:tc>
          <w:tcPr>
            <w:tcW w:type="dxa" w:w="2621"/>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Windows Server STIG, version on the baseline record</w:t>
            </w:r>
          </w:p>
        </w:tc>
        <w:tc>
          <w:tcPr>
            <w:tcW w:type="dxa" w:w="1685"/>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SBD IT Operations</w:t>
            </w:r>
          </w:p>
        </w:tc>
      </w:tr>
      <w:tr>
        <w:trPr>
          <w:cantSplit/>
        </w:trPr>
        <w:tc>
          <w:tcPr>
            <w:tcW w:type="dxa" w:w="936"/>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CI-002</w:t>
            </w:r>
          </w:p>
        </w:tc>
        <w:tc>
          <w:tcPr>
            <w:tcW w:type="dxa" w:w="280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[item]</w:t>
            </w:r>
          </w:p>
        </w:tc>
        <w:tc>
          <w:tcPr>
            <w:tcW w:type="dxa" w:w="1310"/>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[type]</w:t>
            </w:r>
          </w:p>
        </w:tc>
        <w:tc>
          <w:tcPr>
            <w:tcW w:type="dxa" w:w="2621"/>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[baseline]</w:t>
            </w:r>
          </w:p>
        </w:tc>
        <w:tc>
          <w:tcPr>
            <w:tcW w:type="dxa" w:w="1685"/>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[owner]</w:t>
            </w:r>
          </w:p>
        </w:tc>
      </w:tr>
      <w:tr>
        <w:trPr>
          <w:cantSplit/>
        </w:trPr>
        <w:tc>
          <w:tcPr>
            <w:tcW w:type="dxa" w:w="936"/>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CI-003</w:t>
            </w:r>
          </w:p>
        </w:tc>
        <w:tc>
          <w:tcPr>
            <w:tcW w:type="dxa" w:w="280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[item]</w:t>
            </w:r>
          </w:p>
        </w:tc>
        <w:tc>
          <w:tcPr>
            <w:tcW w:type="dxa" w:w="1310"/>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[type]</w:t>
            </w:r>
          </w:p>
        </w:tc>
        <w:tc>
          <w:tcPr>
            <w:tcW w:type="dxa" w:w="2621"/>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[baseline]</w:t>
            </w:r>
          </w:p>
        </w:tc>
        <w:tc>
          <w:tcPr>
            <w:tcW w:type="dxa" w:w="1685"/>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[owner]</w:t>
            </w:r>
          </w:p>
        </w:tc>
      </w:tr>
    </w:tbl>
    <w:p>
      <w:pPr>
        <w:pStyle w:val="Heading1"/>
        <w:spacing w:after="120" w:before="240"/>
      </w:pPr>
      <w:r>
        <w:rPr>
          <w:rFonts w:ascii="Arial" w:cs="Arial" w:eastAsia="Arial" w:hAnsi="Arial"/>
          <w:b/>
          <w:bCs/>
          <w:color w:val="1A2E42"/>
          <w:sz w:val="30"/>
          <w:szCs w:val="30"/>
        </w:rPr>
        <w:t xml:space="preserve">4. Baseline configurations</w:t>
      </w:r>
    </w:p>
    <w:p>
      <w:pPr>
        <w:pStyle w:val="ListParagraph"/>
        <w:numPr>
          <w:ilvl w:val="0"/>
          <w:numId w:val="2"/>
        </w:numPr>
        <w:spacing w:after="60" w:line="276"/>
      </w:pPr>
      <w:r>
        <w:rPr>
          <w:rFonts w:ascii="Arial" w:cs="Arial" w:eastAsia="Arial" w:hAnsi="Arial"/>
          <w:sz w:val="21"/>
          <w:szCs w:val="21"/>
        </w:rPr>
        <w:t xml:space="preserve">Each configuration item has a documented baseline (CM-2): the STIG or SCAP benchmark applied, its version, and accepted deviations recorded in the POA&amp;M or SCTM.</w:t>
      </w:r>
    </w:p>
    <w:p>
      <w:pPr>
        <w:pStyle w:val="ListParagraph"/>
        <w:numPr>
          <w:ilvl w:val="0"/>
          <w:numId w:val="2"/>
        </w:numPr>
        <w:spacing w:after="60" w:line="276"/>
      </w:pPr>
      <w:r>
        <w:rPr>
          <w:rFonts w:ascii="Arial" w:cs="Arial" w:eastAsia="Arial" w:hAnsi="Arial"/>
          <w:sz w:val="21"/>
          <w:szCs w:val="21"/>
        </w:rPr>
        <w:t xml:space="preserve">The hardware and software lists are part of the baseline. Update them as part of every installation or removal, and review them at least annually (JSIG CM-8).</w:t>
      </w:r>
    </w:p>
    <w:p>
      <w:pPr>
        <w:pStyle w:val="ListParagraph"/>
        <w:numPr>
          <w:ilvl w:val="0"/>
          <w:numId w:val="2"/>
        </w:numPr>
        <w:spacing w:after="60" w:line="276"/>
      </w:pPr>
      <w:r>
        <w:rPr>
          <w:rFonts w:ascii="Arial" w:cs="Arial" w:eastAsia="Arial" w:hAnsi="Arial"/>
          <w:sz w:val="21"/>
          <w:szCs w:val="21"/>
        </w:rPr>
        <w:t xml:space="preserve">Only software on the approved software list may run: deny-all, permit-by-exception (CM-7). Software without a valid mission requirement needs the AO's written waiver first.</w:t>
      </w:r>
    </w:p>
    <w:p>
      <w:pPr>
        <w:pStyle w:val="Heading1"/>
        <w:spacing w:after="120" w:before="240"/>
      </w:pPr>
      <w:r>
        <w:rPr>
          <w:rFonts w:ascii="Arial" w:cs="Arial" w:eastAsia="Arial" w:hAnsi="Arial"/>
          <w:b/>
          <w:bCs/>
          <w:color w:val="1A2E42"/>
          <w:sz w:val="30"/>
          <w:szCs w:val="30"/>
        </w:rPr>
        <w:t xml:space="preserve">5. Configuration Control Board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8"/>
        <w:gridCol w:w="6552"/>
      </w:tblGrid>
      <w:tr>
        <w:trPr>
          <w:cantSplit/>
          <w:tblHeader/>
        </w:trPr>
        <w:tc>
          <w:tcPr>
            <w:tcW w:type="dxa" w:w="2808"/>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Item</w:t>
            </w:r>
          </w:p>
        </w:tc>
        <w:tc>
          <w:tcPr>
            <w:tcW w:type="dxa" w:w="6552"/>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Decision for this system</w:t>
            </w:r>
          </w:p>
        </w:tc>
      </w:tr>
      <w:tr>
        <w:trPr>
          <w:cantSplit/>
        </w:trPr>
        <w:tc>
          <w:tcPr>
            <w:tcW w:type="dxa" w:w="280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Chair</w:t>
            </w:r>
          </w:p>
        </w:tc>
        <w:tc>
          <w:tcPr>
            <w:tcW w:type="dxa" w:w="655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[role]</w:t>
            </w:r>
          </w:p>
        </w:tc>
      </w:tr>
      <w:tr>
        <w:trPr>
          <w:cantSplit/>
        </w:trPr>
        <w:tc>
          <w:tcPr>
            <w:tcW w:type="dxa" w:w="280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Voting members</w:t>
            </w:r>
          </w:p>
        </w:tc>
        <w:tc>
          <w:tcPr>
            <w:tcW w:type="dxa" w:w="655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ISSM (with veto); </w:t>
            </w:r>
            <w:r>
              <w:rPr>
                <w:rFonts w:ascii="Arial" w:cs="Arial" w:eastAsia="Arial" w:hAnsi="Arial"/>
                <w:color w:val="9A3412"/>
                <w:sz w:val="19"/>
                <w:szCs w:val="19"/>
              </w:rPr>
              <w:t xml:space="preserve">[other members]</w:t>
            </w:r>
          </w:p>
        </w:tc>
      </w:tr>
      <w:tr>
        <w:trPr>
          <w:cantSplit/>
        </w:trPr>
        <w:tc>
          <w:tcPr>
            <w:tcW w:type="dxa" w:w="280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Advisors</w:t>
            </w:r>
          </w:p>
        </w:tc>
        <w:tc>
          <w:tcPr>
            <w:tcW w:type="dxa" w:w="655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[roles, for example developers for new or upgraded systems]</w:t>
            </w:r>
          </w:p>
        </w:tc>
      </w:tr>
      <w:tr>
        <w:trPr>
          <w:cantSplit/>
        </w:trPr>
        <w:tc>
          <w:tcPr>
            <w:tcW w:type="dxa" w:w="280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Meets</w:t>
            </w:r>
          </w:p>
        </w:tc>
        <w:tc>
          <w:tcPr>
            <w:tcW w:type="dxa" w:w="655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[frequency, and how emergency changes are handled]</w:t>
            </w:r>
          </w:p>
        </w:tc>
      </w:tr>
      <w:tr>
        <w:trPr>
          <w:cantSplit/>
        </w:trPr>
        <w:tc>
          <w:tcPr>
            <w:tcW w:type="dxa" w:w="280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Records kept for</w:t>
            </w:r>
          </w:p>
        </w:tc>
        <w:tc>
          <w:tcPr>
            <w:tcW w:type="dxa" w:w="6552"/>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[period (CM-3 e)]</w:t>
            </w:r>
          </w:p>
        </w:tc>
      </w:tr>
    </w:tbl>
    <w:p>
      <w:pPr>
        <w:spacing w:after="120" w:before="160" w:line="276"/>
      </w:pPr>
      <w:r>
        <w:rPr>
          <w:rFonts w:ascii="Arial" w:cs="Arial" w:eastAsia="Arial" w:hAnsi="Arial"/>
          <w:sz w:val="21"/>
          <w:szCs w:val="21"/>
        </w:rPr>
        <w:t xml:space="preserve">JSIG rules that apply to every SAP site: modifying, relocating or reconfiguring hardware must be approved by the CCB; hardware is not connected to any system or network without the written consent of the ISSM/ISSO and the CCB; and installing or downloading software must be evaluated and approved by the ISSM/ISSO with the local CCB.</w:t>
      </w:r>
    </w:p>
    <w:p>
      <w:pPr>
        <w:pStyle w:val="Heading1"/>
        <w:spacing w:after="120" w:before="240"/>
      </w:pPr>
      <w:r>
        <w:rPr>
          <w:rFonts w:ascii="Arial" w:cs="Arial" w:eastAsia="Arial" w:hAnsi="Arial"/>
          <w:b/>
          <w:bCs/>
          <w:color w:val="1A2E42"/>
          <w:sz w:val="30"/>
          <w:szCs w:val="30"/>
        </w:rPr>
        <w:t xml:space="preserve">6. Change control process (CM-3)</w:t>
      </w:r>
    </w:p>
    <w:p>
      <w:pPr>
        <w:pStyle w:val="ListParagraph"/>
        <w:numPr>
          <w:ilvl w:val="0"/>
          <w:numId w:val="3"/>
        </w:numPr>
        <w:spacing w:after="100" w:line="276"/>
      </w:pPr>
      <w:r>
        <w:rPr>
          <w:rFonts w:ascii="Arial" w:cs="Arial" w:eastAsia="Arial" w:hAnsi="Arial"/>
          <w:sz w:val="21"/>
          <w:szCs w:val="21"/>
        </w:rPr>
        <w:t xml:space="preserve">Request: the requester submits a change request describing the change, the reason and the components affected.</w:t>
      </w:r>
    </w:p>
    <w:p>
      <w:pPr>
        <w:pStyle w:val="ListParagraph"/>
        <w:numPr>
          <w:ilvl w:val="0"/>
          <w:numId w:val="3"/>
        </w:numPr>
        <w:spacing w:after="100" w:line="276"/>
      </w:pPr>
      <w:r>
        <w:rPr>
          <w:rFonts w:ascii="Arial" w:cs="Arial" w:eastAsia="Arial" w:hAnsi="Arial"/>
          <w:sz w:val="21"/>
          <w:szCs w:val="21"/>
        </w:rPr>
        <w:t xml:space="preserve">Analyze: the ISSM/ISSO determine whether the change has a security impact (CM-4) and record the analysis.</w:t>
      </w:r>
    </w:p>
    <w:p>
      <w:pPr>
        <w:pStyle w:val="ListParagraph"/>
        <w:numPr>
          <w:ilvl w:val="0"/>
          <w:numId w:val="3"/>
        </w:numPr>
        <w:spacing w:after="100" w:line="276"/>
      </w:pPr>
      <w:r>
        <w:rPr>
          <w:rFonts w:ascii="Arial" w:cs="Arial" w:eastAsia="Arial" w:hAnsi="Arial"/>
          <w:sz w:val="21"/>
          <w:szCs w:val="21"/>
        </w:rPr>
        <w:t xml:space="preserve">Decide: the CCB approves or disapproves the change with the analysis in hand. If the change is a significant security-relevant change, documented approval from the AO is required; if in doubt, ask the SCA.</w:t>
      </w:r>
    </w:p>
    <w:p>
      <w:pPr>
        <w:pStyle w:val="ListParagraph"/>
        <w:numPr>
          <w:ilvl w:val="0"/>
          <w:numId w:val="3"/>
        </w:numPr>
        <w:spacing w:after="100" w:line="276"/>
      </w:pPr>
      <w:r>
        <w:rPr>
          <w:rFonts w:ascii="Arial" w:cs="Arial" w:eastAsia="Arial" w:hAnsi="Arial"/>
          <w:sz w:val="21"/>
          <w:szCs w:val="21"/>
        </w:rPr>
        <w:t xml:space="preserve">Test: test the change, in a separate environment where possible, and keep the results.</w:t>
      </w:r>
    </w:p>
    <w:p>
      <w:pPr>
        <w:pStyle w:val="ListParagraph"/>
        <w:numPr>
          <w:ilvl w:val="0"/>
          <w:numId w:val="3"/>
        </w:numPr>
        <w:spacing w:after="100" w:line="276"/>
      </w:pPr>
      <w:r>
        <w:rPr>
          <w:rFonts w:ascii="Arial" w:cs="Arial" w:eastAsia="Arial" w:hAnsi="Arial"/>
          <w:sz w:val="21"/>
          <w:szCs w:val="21"/>
        </w:rPr>
        <w:t xml:space="preserve">Implement and verify: implement the approved change; the ISSM/ISSO review test results before and after connection to confirm the system matches the approved artifacts.</w:t>
      </w:r>
    </w:p>
    <w:p>
      <w:pPr>
        <w:pStyle w:val="ListParagraph"/>
        <w:numPr>
          <w:ilvl w:val="0"/>
          <w:numId w:val="3"/>
        </w:numPr>
        <w:spacing w:after="100" w:line="276"/>
      </w:pPr>
      <w:r>
        <w:rPr>
          <w:rFonts w:ascii="Arial" w:cs="Arial" w:eastAsia="Arial" w:hAnsi="Arial"/>
          <w:sz w:val="21"/>
          <w:szCs w:val="21"/>
        </w:rPr>
        <w:t xml:space="preserve">Update: update the baseline, the hardware and software lists, the SSP/SCTM and, if needed, the POA&amp;M. Close the request.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6178"/>
      </w:tblGrid>
      <w:tr>
        <w:trPr>
          <w:cantSplit/>
          <w:tblHeader/>
        </w:trPr>
        <w:tc>
          <w:tcPr>
            <w:tcW w:type="dxa" w:w="3182"/>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Change request field</w:t>
            </w:r>
          </w:p>
        </w:tc>
        <w:tc>
          <w:tcPr>
            <w:tcW w:type="dxa" w:w="6178"/>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Entry</w:t>
            </w:r>
          </w:p>
        </w:tc>
      </w:tr>
      <w:tr>
        <w:trPr>
          <w:cantSplit/>
        </w:trPr>
        <w:tc>
          <w:tcPr>
            <w:tcW w:type="dxa" w:w="3182"/>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Request number and date</w:t>
            </w:r>
          </w:p>
        </w:tc>
        <w:tc>
          <w:tcPr>
            <w:tcW w:type="dxa" w:w="6178"/>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CR-2026-031, 2026-10-02</w:t>
            </w:r>
          </w:p>
        </w:tc>
      </w:tr>
      <w:tr>
        <w:trPr>
          <w:cantSplit/>
        </w:trPr>
        <w:tc>
          <w:tcPr>
            <w:tcW w:type="dxa" w:w="3182"/>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Description and reason</w:t>
            </w:r>
          </w:p>
        </w:tc>
        <w:tc>
          <w:tcPr>
            <w:tcW w:type="dxa" w:w="6178"/>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Replace the backup appliance's firmware to fix a vendor-reported flaw</w:t>
            </w:r>
          </w:p>
        </w:tc>
      </w:tr>
      <w:tr>
        <w:trPr>
          <w:cantSplit/>
        </w:trPr>
        <w:tc>
          <w:tcPr>
            <w:tcW w:type="dxa" w:w="3182"/>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Configuration items affected</w:t>
            </w:r>
          </w:p>
        </w:tc>
        <w:tc>
          <w:tcPr>
            <w:tcW w:type="dxa" w:w="6178"/>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CI-007 backup appliance</w:t>
            </w:r>
          </w:p>
        </w:tc>
      </w:tr>
      <w:tr>
        <w:trPr>
          <w:cantSplit/>
        </w:trPr>
        <w:tc>
          <w:tcPr>
            <w:tcW w:type="dxa" w:w="3182"/>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Security impact analysis</w:t>
            </w:r>
          </w:p>
        </w:tc>
        <w:tc>
          <w:tcPr>
            <w:tcW w:type="dxa" w:w="6178"/>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No change to boundary, ports or data flows; vendor hash verified; patch closes POAM-004</w:t>
            </w:r>
          </w:p>
        </w:tc>
      </w:tr>
      <w:tr>
        <w:trPr>
          <w:cantSplit/>
        </w:trPr>
        <w:tc>
          <w:tcPr>
            <w:tcW w:type="dxa" w:w="3182"/>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CCB decision and date</w:t>
            </w:r>
          </w:p>
        </w:tc>
        <w:tc>
          <w:tcPr>
            <w:tcW w:type="dxa" w:w="6178"/>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Approved, 2026-10-05; not a significant change (SCA consulted)</w:t>
            </w:r>
          </w:p>
        </w:tc>
      </w:tr>
      <w:tr>
        <w:trPr>
          <w:cantSplit/>
        </w:trPr>
        <w:tc>
          <w:tcPr>
            <w:tcW w:type="dxa" w:w="3182"/>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Implemented and verified</w:t>
            </w:r>
          </w:p>
        </w:tc>
        <w:tc>
          <w:tcPr>
            <w:tcW w:type="dxa" w:w="6178"/>
            <w:tcBorders>
              <w:top w:val="single" w:color="C9D3DC" w:sz="4"/>
              <w:left w:val="single" w:color="C9D3DC" w:sz="4"/>
              <w:bottom w:val="single" w:color="C9D3DC" w:sz="4"/>
              <w:right w:val="single" w:color="C9D3DC" w:sz="4"/>
            </w:tcBorders>
            <w:shd w:fill="E3F4EA" w:color="auto" w:val="clear"/>
            <w:tcMar>
              <w:top w:type="dxa" w:w="60"/>
              <w:left w:type="dxa" w:w="90"/>
              <w:bottom w:type="dxa" w:w="60"/>
              <w:right w:type="dxa" w:w="90"/>
            </w:tcMar>
          </w:tcPr>
          <w:p>
            <w:r>
              <w:rPr>
                <w:rFonts w:ascii="Arial" w:cs="Arial" w:eastAsia="Arial" w:hAnsi="Arial"/>
                <w:b w:val="false"/>
                <w:bCs w:val="false"/>
                <w:sz w:val="18"/>
                <w:szCs w:val="18"/>
              </w:rPr>
              <w:t xml:space="preserve">2026-10-08; SCAP rescan attached</w:t>
            </w:r>
          </w:p>
        </w:tc>
      </w:tr>
    </w:tbl>
    <w:p>
      <w:pPr>
        <w:pStyle w:val="Heading1"/>
        <w:spacing w:after="120" w:before="240"/>
      </w:pPr>
      <w:r>
        <w:rPr>
          <w:rFonts w:ascii="Arial" w:cs="Arial" w:eastAsia="Arial" w:hAnsi="Arial"/>
          <w:b/>
          <w:bCs/>
          <w:color w:val="1A2E42"/>
          <w:sz w:val="30"/>
          <w:szCs w:val="30"/>
        </w:rPr>
        <w:t xml:space="preserve">7. Monitoring configuration compliance</w:t>
      </w:r>
    </w:p>
    <w:p>
      <w:pPr>
        <w:spacing w:after="120" w:line="276"/>
      </w:pPr>
      <w:r>
        <w:rPr>
          <w:rFonts w:ascii="Arial" w:cs="Arial" w:eastAsia="Arial" w:hAnsi="Arial"/>
          <w:sz w:val="21"/>
          <w:szCs w:val="21"/>
        </w:rPr>
        <w:t xml:space="preserve">Scan configuration items against their baselines </w:t>
      </w:r>
      <w:r>
        <w:rPr>
          <w:rFonts w:ascii="Arial" w:cs="Arial" w:eastAsia="Arial" w:hAnsi="Arial"/>
          <w:color w:val="9A3412"/>
          <w:sz w:val="19"/>
          <w:szCs w:val="19"/>
        </w:rPr>
        <w:t xml:space="preserve">[frequency]</w:t>
      </w:r>
      <w:r>
        <w:rPr>
          <w:rFonts w:ascii="Arial" w:cs="Arial" w:eastAsia="Arial" w:hAnsi="Arial"/>
          <w:sz w:val="21"/>
          <w:szCs w:val="21"/>
        </w:rPr>
        <w:t xml:space="preserve"> using </w:t>
      </w:r>
      <w:r>
        <w:rPr>
          <w:rFonts w:ascii="Arial" w:cs="Arial" w:eastAsia="Arial" w:hAnsi="Arial"/>
          <w:color w:val="9A3412"/>
          <w:sz w:val="19"/>
          <w:szCs w:val="19"/>
        </w:rPr>
        <w:t xml:space="preserve">[tools, for example SCAP Compliance Checker and STIG Viewer]</w:t>
      </w:r>
      <w:r>
        <w:rPr>
          <w:rFonts w:ascii="Arial" w:cs="Arial" w:eastAsia="Arial" w:hAnsi="Arial"/>
          <w:sz w:val="21"/>
          <w:szCs w:val="21"/>
        </w:rPr>
        <w:t xml:space="preserve">, and review unauthorized changes found by the audit process. Report results through the continuous monitoring strategy.</w:t>
      </w:r>
    </w:p>
    <w:p>
      <w:pPr>
        <w:pStyle w:val="Heading1"/>
        <w:spacing w:after="120" w:before="240"/>
      </w:pPr>
      <w:r>
        <w:rPr>
          <w:rFonts w:ascii="Arial" w:cs="Arial" w:eastAsia="Arial" w:hAnsi="Arial"/>
          <w:b/>
          <w:bCs/>
          <w:color w:val="1A2E42"/>
          <w:sz w:val="30"/>
          <w:szCs w:val="30"/>
        </w:rPr>
        <w:t xml:space="preserve">8. Plan review, approval and protection</w:t>
      </w:r>
    </w:p>
    <w:p>
      <w:pPr>
        <w:spacing w:after="120" w:line="276"/>
      </w:pPr>
      <w:r>
        <w:rPr>
          <w:rFonts w:ascii="Arial" w:cs="Arial" w:eastAsia="Arial" w:hAnsi="Arial"/>
          <w:sz w:val="21"/>
          <w:szCs w:val="21"/>
        </w:rPr>
        <w:t xml:space="preserve">This plan is reviewed and approved by </w:t>
      </w:r>
      <w:r>
        <w:rPr>
          <w:rFonts w:ascii="Arial" w:cs="Arial" w:eastAsia="Arial" w:hAnsi="Arial"/>
          <w:color w:val="9A3412"/>
          <w:sz w:val="19"/>
          <w:szCs w:val="19"/>
        </w:rPr>
        <w:t xml:space="preserve">[role (CM-9 d)]</w:t>
      </w:r>
      <w:r>
        <w:rPr>
          <w:rFonts w:ascii="Arial" w:cs="Arial" w:eastAsia="Arial" w:hAnsi="Arial"/>
          <w:sz w:val="21"/>
          <w:szCs w:val="21"/>
        </w:rPr>
        <w:t xml:space="preserve"> </w:t>
      </w:r>
      <w:r>
        <w:rPr>
          <w:rFonts w:ascii="Arial" w:cs="Arial" w:eastAsia="Arial" w:hAnsi="Arial"/>
          <w:color w:val="9A3412"/>
          <w:sz w:val="19"/>
          <w:szCs w:val="19"/>
        </w:rPr>
        <w:t xml:space="preserve">[frequency]</w:t>
      </w:r>
      <w:r>
        <w:rPr>
          <w:rFonts w:ascii="Arial" w:cs="Arial" w:eastAsia="Arial" w:hAnsi="Arial"/>
          <w:sz w:val="21"/>
          <w:szCs w:val="21"/>
        </w:rPr>
        <w:t xml:space="preserve">, and is protected from unauthorized disclosure and modification (CM-9 e) by </w:t>
      </w:r>
      <w:r>
        <w:rPr>
          <w:rFonts w:ascii="Arial" w:cs="Arial" w:eastAsia="Arial" w:hAnsi="Arial"/>
          <w:color w:val="9A3412"/>
          <w:sz w:val="19"/>
          <w:szCs w:val="19"/>
        </w:rPr>
        <w:t xml:space="preserve">[method]</w:t>
      </w:r>
      <w:r>
        <w:rPr>
          <w:rFonts w:ascii="Arial" w:cs="Arial" w:eastAsia="Arial" w:hAnsi="Arial"/>
          <w:sz w:val="21"/>
          <w:szCs w:val="21"/>
        </w:rP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23"/>
        <w:gridCol w:w="1498"/>
        <w:gridCol w:w="4680"/>
        <w:gridCol w:w="2059"/>
      </w:tblGrid>
      <w:tr>
        <w:trPr>
          <w:cantSplit/>
          <w:tblHeader/>
        </w:trPr>
        <w:tc>
          <w:tcPr>
            <w:tcW w:type="dxa" w:w="1123"/>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Version</w:t>
            </w:r>
          </w:p>
        </w:tc>
        <w:tc>
          <w:tcPr>
            <w:tcW w:type="dxa" w:w="1498"/>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Date</w:t>
            </w:r>
          </w:p>
        </w:tc>
        <w:tc>
          <w:tcPr>
            <w:tcW w:type="dxa" w:w="4680"/>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Change</w:t>
            </w:r>
          </w:p>
        </w:tc>
        <w:tc>
          <w:tcPr>
            <w:tcW w:type="dxa" w:w="2059"/>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Approved by</w:t>
            </w:r>
          </w:p>
        </w:tc>
      </w:tr>
      <w:tr>
        <w:trPr>
          <w:cantSplit/>
        </w:trPr>
        <w:tc>
          <w:tcPr>
            <w:tcW w:type="dxa" w:w="1123"/>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1.0</w:t>
            </w:r>
          </w:p>
        </w:tc>
        <w:tc>
          <w:tcPr>
            <w:tcW w:type="dxa" w:w="149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[date]</w:t>
            </w:r>
          </w:p>
        </w:tc>
        <w:tc>
          <w:tcPr>
            <w:tcW w:type="dxa" w:w="4680"/>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Initial plan</w:t>
            </w:r>
          </w:p>
        </w:tc>
        <w:tc>
          <w:tcPr>
            <w:tcW w:type="dxa" w:w="2059"/>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color w:val="9A3412"/>
                <w:sz w:val="19"/>
                <w:szCs w:val="19"/>
              </w:rPr>
              <w:t xml:space="preserve">[name]</w:t>
            </w:r>
          </w:p>
        </w:tc>
      </w:tr>
    </w:tbl>
    <w:p>
      <w:pPr>
        <w:pStyle w:val="Heading2"/>
        <w:spacing w:after="100" w:before="200"/>
      </w:pPr>
      <w:r>
        <w:rPr>
          <w:rFonts w:ascii="Arial" w:cs="Arial" w:eastAsia="Arial" w:hAnsi="Arial"/>
          <w:b/>
          <w:bCs/>
          <w:color w:val="155E75"/>
          <w:sz w:val="24"/>
          <w:szCs w:val="24"/>
        </w:rPr>
        <w:t xml:space="preserve">Sources</w:t>
      </w:r>
    </w:p>
    <w:p>
      <w:pPr>
        <w:pStyle w:val="ListParagraph"/>
        <w:numPr>
          <w:ilvl w:val="0"/>
          <w:numId w:val="2"/>
        </w:numPr>
        <w:spacing w:after="60" w:line="276"/>
      </w:pPr>
      <w:r>
        <w:rPr>
          <w:rFonts w:ascii="Arial" w:cs="Arial" w:eastAsia="Arial" w:hAnsi="Arial"/>
          <w:sz w:val="21"/>
          <w:szCs w:val="21"/>
        </w:rPr>
        <w:t xml:space="preserve">DoD Joint SAP Implementation Guide (JSIG), 11 April 2016: controls CM-2, CM-3, CM-4, CM-7, CM-8 and CM-9 (public on dcsa.mil).</w:t>
      </w:r>
    </w:p>
    <w:p>
      <w:pPr>
        <w:pStyle w:val="ListParagraph"/>
        <w:numPr>
          <w:ilvl w:val="0"/>
          <w:numId w:val="2"/>
        </w:numPr>
        <w:spacing w:after="60" w:line="276"/>
      </w:pPr>
      <w:r>
        <w:rPr>
          <w:rFonts w:ascii="Arial" w:cs="Arial" w:eastAsia="Arial" w:hAnsi="Arial"/>
          <w:sz w:val="21"/>
          <w:szCs w:val="21"/>
        </w:rPr>
        <w:t xml:space="preserve">NIST SP 800-53 Rev. 5, Release 5.2.0, controls CM-3, CM-4 and CM-9.</w:t>
      </w:r>
    </w:p>
    <w:p>
      <w:pPr>
        <w:pStyle w:val="ListParagraph"/>
        <w:numPr>
          <w:ilvl w:val="0"/>
          <w:numId w:val="2"/>
        </w:numPr>
        <w:spacing w:after="60" w:line="276"/>
      </w:pPr>
      <w:r>
        <w:rPr>
          <w:rFonts w:ascii="Arial" w:cs="Arial" w:eastAsia="Arial" w:hAnsi="Arial"/>
          <w:sz w:val="21"/>
          <w:szCs w:val="21"/>
        </w:rPr>
        <w:t xml:space="preserve">NIST SP 800-128, Guide for Security-Focused Configuration Management of Information Systems (Appendices D, E, H, I).</w:t>
      </w:r>
    </w:p>
    <w:p>
      <w:pPr>
        <w:pBdr>
          <w:left w:val="single" w:color="155E75" w:sz="12" w:space="8"/>
        </w:pBdr>
        <w:spacing w:after="160" w:before="60"/>
      </w:pPr>
      <w:r>
        <w:rPr>
          <w:rFonts w:ascii="Arial" w:cs="Arial" w:eastAsia="Arial" w:hAnsi="Arial"/>
          <w:i/>
          <w:iCs/>
          <w:color w:val="374151"/>
          <w:sz w:val="19"/>
          <w:szCs w:val="19"/>
        </w:rPr>
        <w:t xml:space="preserve">Written by Secure By Design for instruction. This is not an official DoD, DCSA, PSO or AO form. On a real system, use the templates your AO and PSO direct, and do not enter real program or personal information in a training copy.</w:t>
      </w:r>
    </w:p>
    <w:sectPr>
      <w:headerReference w:type="default" r:id="rId7"/>
      <w:footerReference w:type="default" r:id="rId8"/>
      <w:pgSz w:w="12240" w:h="15840" w:orient="portrait"/>
      <w:pgMar w:top="144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Configuration Management Plan  ·  Secure By Design training sample  ·  Page </w:t>
    </w:r>
    <w:r>
      <w:rPr>
        <w:rFonts w:ascii="Arial" w:cs="Arial" w:eastAsia="Arial" w:hAnsi="Arial"/>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A3412" w:sz="6" w:space="4"/>
      </w:pBdr>
      <w:jc w:val="center"/>
    </w:pPr>
    <w:r>
      <w:rPr>
        <w:rFonts w:ascii="Arial" w:cs="Arial" w:eastAsia="Arial" w:hAnsi="Arial"/>
        <w:b/>
        <w:bCs/>
        <w:color w:val="9A3412"/>
        <w:sz w:val="16"/>
        <w:szCs w:val="16"/>
      </w:rPr>
      <w:t xml:space="preserve">SECURE BY DESIGN TRAINING SAMPLE - NOT AN OFFICIAL FORM. Fictional data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90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Configuration Management Plan</dc:title>
  <dc:creator>Secure By Design</dc:creator>
  <dc:description>Secure By Design training sample. Not an official form.</dc:description>
  <cp:lastModifiedBy>Un-named</cp:lastModifiedBy>
  <cp:revision>1</cp:revision>
  <dcterms:created xsi:type="dcterms:W3CDTF">2026-10-15T18:20:13.560Z</dcterms:created>
  <dcterms:modified xsi:type="dcterms:W3CDTF">2026-10-15T18:20:13.560Z</dcterms:modified>
</cp:coreProperties>
</file>

<file path=docProps/custom.xml><?xml version="1.0" encoding="utf-8"?>
<Properties xmlns="http://schemas.openxmlformats.org/officeDocument/2006/custom-properties" xmlns:vt="http://schemas.openxmlformats.org/officeDocument/2006/docPropsVTypes"/>
</file>